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69933" w14:textId="3E51F9DD" w:rsidR="00F22242" w:rsidRPr="009720DC" w:rsidRDefault="009720DC" w:rsidP="009720DC">
      <w:pPr>
        <w:pBdr>
          <w:bottom w:val="single" w:sz="4" w:space="1" w:color="auto"/>
        </w:pBdr>
        <w:jc w:val="center"/>
        <w:rPr>
          <w:b/>
          <w:bCs/>
        </w:rPr>
      </w:pPr>
      <w:proofErr w:type="spellStart"/>
      <w:r w:rsidRPr="009720DC">
        <w:rPr>
          <w:b/>
          <w:bCs/>
        </w:rPr>
        <w:t>DClare</w:t>
      </w:r>
      <w:proofErr w:type="spellEnd"/>
      <w:r w:rsidRPr="009720DC">
        <w:rPr>
          <w:b/>
          <w:bCs/>
        </w:rPr>
        <w:t xml:space="preserve"> cluster RCT open access data: Information and instructions for use</w:t>
      </w:r>
    </w:p>
    <w:p w14:paraId="21C38900" w14:textId="7C2BA979" w:rsidR="009720DC" w:rsidRDefault="009720DC">
      <w:pPr>
        <w:rPr>
          <w:i/>
          <w:iCs/>
        </w:rPr>
      </w:pPr>
      <w:r w:rsidRPr="009720DC">
        <w:rPr>
          <w:i/>
          <w:iCs/>
        </w:rPr>
        <w:t>Description of the data:</w:t>
      </w:r>
    </w:p>
    <w:p w14:paraId="1CA7BF49" w14:textId="3896C074" w:rsidR="00006264" w:rsidRDefault="007D57A0" w:rsidP="00BE16FC">
      <w:pPr>
        <w:rPr>
          <w:rFonts w:cstheme="minorHAnsi"/>
        </w:rPr>
      </w:pPr>
      <w:r w:rsidRPr="0072072D">
        <w:rPr>
          <w:rFonts w:cstheme="minorHAnsi"/>
        </w:rPr>
        <w:t>The Banglades</w:t>
      </w:r>
      <w:r w:rsidR="001B3A31">
        <w:rPr>
          <w:rFonts w:cstheme="minorHAnsi"/>
        </w:rPr>
        <w:t>h</w:t>
      </w:r>
      <w:r w:rsidR="001B3A31" w:rsidRPr="001B3A31">
        <w:t xml:space="preserve"> </w:t>
      </w:r>
      <w:r w:rsidR="001B3A31" w:rsidRPr="001B3A31">
        <w:rPr>
          <w:rFonts w:cstheme="minorHAnsi"/>
        </w:rPr>
        <w:t>Diabetes: Community-Led Awareness, Response and Evaluation</w:t>
      </w:r>
      <w:r w:rsidRPr="0072072D">
        <w:rPr>
          <w:rFonts w:cstheme="minorHAnsi"/>
        </w:rPr>
        <w:t xml:space="preserve"> </w:t>
      </w:r>
      <w:r w:rsidR="001B3A31">
        <w:rPr>
          <w:rFonts w:cstheme="minorHAnsi"/>
        </w:rPr>
        <w:t>(</w:t>
      </w:r>
      <w:proofErr w:type="spellStart"/>
      <w:r w:rsidRPr="0072072D">
        <w:rPr>
          <w:rFonts w:cstheme="minorHAnsi"/>
        </w:rPr>
        <w:t>DClare</w:t>
      </w:r>
      <w:proofErr w:type="spellEnd"/>
      <w:r w:rsidR="001B3A31">
        <w:rPr>
          <w:rFonts w:cstheme="minorHAnsi"/>
        </w:rPr>
        <w:t>)</w:t>
      </w:r>
      <w:r w:rsidRPr="0072072D">
        <w:rPr>
          <w:rFonts w:cstheme="minorHAnsi"/>
        </w:rPr>
        <w:t xml:space="preserve"> project </w:t>
      </w:r>
      <w:r w:rsidR="0029485F">
        <w:rPr>
          <w:rFonts w:cstheme="minorHAnsi"/>
        </w:rPr>
        <w:t xml:space="preserve">was </w:t>
      </w:r>
      <w:r w:rsidRPr="0072072D">
        <w:rPr>
          <w:rFonts w:cstheme="minorHAnsi"/>
        </w:rPr>
        <w:t>a collaboration between University College London Institute for Global Health</w:t>
      </w:r>
      <w:r w:rsidR="0029485F">
        <w:rPr>
          <w:rFonts w:cstheme="minorHAnsi"/>
        </w:rPr>
        <w:t>,</w:t>
      </w:r>
      <w:r w:rsidRPr="0072072D">
        <w:rPr>
          <w:rFonts w:cstheme="minorHAnsi"/>
        </w:rPr>
        <w:t xml:space="preserve"> the Diabetic Association of Bangladesh</w:t>
      </w:r>
      <w:r w:rsidR="0029485F">
        <w:rPr>
          <w:rFonts w:cstheme="minorHAnsi"/>
        </w:rPr>
        <w:t xml:space="preserve"> and </w:t>
      </w:r>
      <w:r w:rsidR="000D065F">
        <w:rPr>
          <w:rFonts w:cstheme="minorHAnsi"/>
        </w:rPr>
        <w:t xml:space="preserve">Karolinska </w:t>
      </w:r>
      <w:proofErr w:type="spellStart"/>
      <w:r w:rsidR="000D065F">
        <w:rPr>
          <w:rFonts w:cstheme="minorHAnsi"/>
        </w:rPr>
        <w:t>Institutet’s</w:t>
      </w:r>
      <w:proofErr w:type="spellEnd"/>
      <w:r w:rsidR="000D065F">
        <w:rPr>
          <w:rFonts w:cstheme="minorHAnsi"/>
        </w:rPr>
        <w:t xml:space="preserve"> </w:t>
      </w:r>
      <w:r w:rsidR="0029485F">
        <w:rPr>
          <w:rFonts w:cstheme="minorHAnsi"/>
        </w:rPr>
        <w:t>Department of Global Public Health</w:t>
      </w:r>
      <w:r w:rsidRPr="0072072D">
        <w:rPr>
          <w:rFonts w:cstheme="minorHAnsi"/>
        </w:rPr>
        <w:t xml:space="preserve">. </w:t>
      </w:r>
      <w:r w:rsidR="000D065F">
        <w:rPr>
          <w:rFonts w:cstheme="minorHAnsi"/>
        </w:rPr>
        <w:t xml:space="preserve">The </w:t>
      </w:r>
      <w:proofErr w:type="spellStart"/>
      <w:r w:rsidR="000D065F">
        <w:rPr>
          <w:rFonts w:cstheme="minorHAnsi"/>
        </w:rPr>
        <w:t>DClare</w:t>
      </w:r>
      <w:proofErr w:type="spellEnd"/>
      <w:r w:rsidR="000D065F">
        <w:rPr>
          <w:rFonts w:cstheme="minorHAnsi"/>
        </w:rPr>
        <w:t xml:space="preserve"> project</w:t>
      </w:r>
      <w:r w:rsidR="00BE16FC">
        <w:rPr>
          <w:rFonts w:cstheme="minorHAnsi"/>
        </w:rPr>
        <w:t xml:space="preserve"> involved a cluster randomised controlled trial</w:t>
      </w:r>
      <w:r w:rsidR="0044158F">
        <w:rPr>
          <w:rFonts w:cstheme="minorHAnsi"/>
        </w:rPr>
        <w:t xml:space="preserve"> (</w:t>
      </w:r>
      <w:proofErr w:type="spellStart"/>
      <w:r w:rsidR="0044158F">
        <w:rPr>
          <w:rFonts w:cstheme="minorHAnsi"/>
        </w:rPr>
        <w:t>cRCT</w:t>
      </w:r>
      <w:proofErr w:type="spellEnd"/>
      <w:r w:rsidR="0044158F">
        <w:rPr>
          <w:rFonts w:cstheme="minorHAnsi"/>
        </w:rPr>
        <w:t>)</w:t>
      </w:r>
      <w:r w:rsidR="00BE16FC">
        <w:rPr>
          <w:rFonts w:cstheme="minorHAnsi"/>
        </w:rPr>
        <w:t xml:space="preserve">, which was conducted </w:t>
      </w:r>
      <w:r w:rsidR="00650C91">
        <w:rPr>
          <w:rFonts w:cstheme="minorHAnsi"/>
        </w:rPr>
        <w:t xml:space="preserve">in </w:t>
      </w:r>
      <w:proofErr w:type="spellStart"/>
      <w:r w:rsidR="00650C91">
        <w:rPr>
          <w:rFonts w:cstheme="minorHAnsi"/>
        </w:rPr>
        <w:t>Alfadanga</w:t>
      </w:r>
      <w:proofErr w:type="spellEnd"/>
      <w:r w:rsidR="00650C91">
        <w:rPr>
          <w:rFonts w:cstheme="minorHAnsi"/>
        </w:rPr>
        <w:t xml:space="preserve"> </w:t>
      </w:r>
      <w:proofErr w:type="spellStart"/>
      <w:r w:rsidR="00650C91">
        <w:rPr>
          <w:rFonts w:cstheme="minorHAnsi"/>
        </w:rPr>
        <w:t>Upazilla</w:t>
      </w:r>
      <w:proofErr w:type="spellEnd"/>
      <w:r w:rsidR="00650C91">
        <w:rPr>
          <w:rFonts w:cstheme="minorHAnsi"/>
        </w:rPr>
        <w:t>, Faridpur District, Bangladesh</w:t>
      </w:r>
      <w:r w:rsidR="00DE548B">
        <w:rPr>
          <w:rFonts w:cstheme="minorHAnsi"/>
        </w:rPr>
        <w:t xml:space="preserve"> between </w:t>
      </w:r>
      <w:r w:rsidR="00DE548B" w:rsidRPr="00AB305B">
        <w:rPr>
          <w:rFonts w:cstheme="minorHAnsi"/>
        </w:rPr>
        <w:t>2019 and 2022</w:t>
      </w:r>
      <w:r w:rsidR="00650C91">
        <w:rPr>
          <w:rFonts w:cstheme="minorHAnsi"/>
        </w:rPr>
        <w:t xml:space="preserve">. </w:t>
      </w:r>
      <w:r w:rsidR="004A7762">
        <w:rPr>
          <w:rFonts w:cstheme="minorHAnsi"/>
        </w:rPr>
        <w:t xml:space="preserve">This document describes the survey data from this </w:t>
      </w:r>
      <w:proofErr w:type="spellStart"/>
      <w:r w:rsidR="004A7762">
        <w:rPr>
          <w:rFonts w:cstheme="minorHAnsi"/>
        </w:rPr>
        <w:t>cRCT</w:t>
      </w:r>
      <w:proofErr w:type="spellEnd"/>
      <w:r w:rsidR="004A7762">
        <w:rPr>
          <w:rFonts w:cstheme="minorHAnsi"/>
        </w:rPr>
        <w:t xml:space="preserve"> which has been made openly accessible. </w:t>
      </w:r>
      <w:r w:rsidR="00650C91">
        <w:rPr>
          <w:rFonts w:cstheme="minorHAnsi"/>
        </w:rPr>
        <w:t xml:space="preserve"> </w:t>
      </w:r>
    </w:p>
    <w:p w14:paraId="67A4A09F" w14:textId="557F6C67" w:rsidR="006A67C5" w:rsidRDefault="006A67C5" w:rsidP="007D57A0">
      <w:pPr>
        <w:rPr>
          <w:rFonts w:cstheme="minorHAnsi"/>
        </w:rPr>
      </w:pPr>
      <w:r w:rsidRPr="006A67C5">
        <w:rPr>
          <w:rFonts w:cstheme="minorHAnsi"/>
          <w:noProof/>
        </w:rPr>
        <mc:AlternateContent>
          <mc:Choice Requires="wps">
            <w:drawing>
              <wp:inline distT="0" distB="0" distL="0" distR="0" wp14:anchorId="146E7EF7" wp14:editId="77D77D50">
                <wp:extent cx="5800725" cy="1404620"/>
                <wp:effectExtent l="0" t="0" r="28575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BFECE" w14:textId="6CB84A3E" w:rsidR="006A67C5" w:rsidRDefault="006A67C5" w:rsidP="006A67C5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Other datasets were collected </w:t>
                            </w:r>
                            <w:r w:rsidR="000A1F22">
                              <w:rPr>
                                <w:rFonts w:cstheme="minorHAnsi"/>
                              </w:rPr>
                              <w:t>for</w:t>
                            </w:r>
                            <w:r>
                              <w:rPr>
                                <w:rFonts w:cstheme="minorHAnsi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DClare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Project which ha</w:t>
                            </w:r>
                            <w:r w:rsidR="00CF4A87">
                              <w:rPr>
                                <w:rFonts w:cstheme="minorHAnsi"/>
                              </w:rPr>
                              <w:t xml:space="preserve">ve </w:t>
                            </w:r>
                            <w:r>
                              <w:rPr>
                                <w:rFonts w:cstheme="minorHAnsi"/>
                              </w:rPr>
                              <w:t xml:space="preserve">not been openly archived. Please refer to the individual publications for information on </w:t>
                            </w:r>
                            <w:r w:rsidR="00CF4A87">
                              <w:rPr>
                                <w:rFonts w:cstheme="minorHAnsi"/>
                              </w:rPr>
                              <w:t>how to access these data</w:t>
                            </w:r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24ABABD4" w14:textId="797E0683" w:rsidR="00182EBD" w:rsidRPr="00182EBD" w:rsidRDefault="006A67C5" w:rsidP="00182E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182EBD">
                              <w:rPr>
                                <w:rFonts w:cstheme="minorHAnsi"/>
                              </w:rPr>
                              <w:t>Stakeholder perspectives on intervention scale-up</w:t>
                            </w:r>
                            <w:r w:rsidR="00CA284F" w:rsidRPr="00182EBD">
                              <w:rPr>
                                <w:rFonts w:cstheme="minorHAnsi"/>
                              </w:rPr>
                              <w:t xml:space="preserve">: </w:t>
                            </w:r>
                            <w:hyperlink r:id="rId7" w:tgtFrame="_blank" w:history="1">
                              <w:r w:rsidR="00182EBD" w:rsidRPr="00182EBD">
                                <w:rPr>
                                  <w:rStyle w:val="Hyperlink"/>
                                </w:rPr>
                                <w:t>10.1186/s12889-023-15551-9</w:t>
                              </w:r>
                            </w:hyperlink>
                          </w:p>
                          <w:p w14:paraId="60449121" w14:textId="68EBA7C0" w:rsidR="00142AA1" w:rsidRPr="00182EBD" w:rsidRDefault="00142AA1" w:rsidP="00A05BF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182EBD">
                              <w:rPr>
                                <w:rFonts w:cstheme="minorHAnsi"/>
                              </w:rPr>
                              <w:t>Community engagement in the context of COVID-19</w:t>
                            </w:r>
                            <w:r w:rsidR="007E7FE2" w:rsidRPr="00182EBD">
                              <w:rPr>
                                <w:rFonts w:cstheme="minorHAnsi"/>
                              </w:rPr>
                              <w:t xml:space="preserve">: </w:t>
                            </w:r>
                            <w:hyperlink r:id="rId8" w:history="1">
                              <w:r w:rsidR="007E7FE2" w:rsidRPr="00182EBD">
                                <w:rPr>
                                  <w:rStyle w:val="Hyperlink"/>
                                  <w:rFonts w:cstheme="minorHAnsi"/>
                                </w:rPr>
                                <w:t>https://doi.org/10.14324/RFA.07.1.17</w:t>
                              </w:r>
                            </w:hyperlink>
                          </w:p>
                          <w:p w14:paraId="30B178B3" w14:textId="087CE816" w:rsidR="006A67C5" w:rsidRPr="006A67C5" w:rsidRDefault="006A67C5" w:rsidP="00552EF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  <w:r w:rsidRPr="00EE57AB">
                              <w:rPr>
                                <w:rFonts w:cstheme="minorHAnsi"/>
                              </w:rPr>
                              <w:t>Process evaluation of intervention implementation during COVID-19</w:t>
                            </w:r>
                            <w:r w:rsidR="00CA284F" w:rsidRPr="00EE57AB">
                              <w:rPr>
                                <w:rFonts w:cstheme="minorHAnsi"/>
                              </w:rPr>
                              <w:t xml:space="preserve">: </w:t>
                            </w:r>
                            <w:hyperlink r:id="rId9" w:history="1">
                              <w:r w:rsidR="00501EF9" w:rsidRPr="00EE57AB">
                                <w:rPr>
                                  <w:rStyle w:val="Hyperlink"/>
                                  <w:rFonts w:cstheme="minorHAnsi"/>
                                </w:rPr>
                                <w:t>https://doi.org/10.1136/bmjopen-2024-089288</w:t>
                              </w:r>
                            </w:hyperlink>
                            <w:r w:rsidR="00501EF9" w:rsidRPr="00EE57AB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6E7E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6.7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" fillcolor="#f2f2f2 [3052]">
                <v:textbox style="mso-fit-shape-to-text:t">
                  <w:txbxContent>
                    <w:p w14:paraId="6F6BFECE" w14:textId="6CB84A3E" w:rsidR="006A67C5" w:rsidRDefault="006A67C5" w:rsidP="006A67C5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Other datasets were collected </w:t>
                      </w:r>
                      <w:r w:rsidR="000A1F22">
                        <w:rPr>
                          <w:rFonts w:cstheme="minorHAnsi"/>
                        </w:rPr>
                        <w:t>for</w:t>
                      </w:r>
                      <w:r>
                        <w:rPr>
                          <w:rFonts w:cstheme="minorHAnsi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cstheme="minorHAnsi"/>
                        </w:rPr>
                        <w:t>DClare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Project which ha</w:t>
                      </w:r>
                      <w:r w:rsidR="00CF4A87">
                        <w:rPr>
                          <w:rFonts w:cstheme="minorHAnsi"/>
                        </w:rPr>
                        <w:t xml:space="preserve">ve </w:t>
                      </w:r>
                      <w:r>
                        <w:rPr>
                          <w:rFonts w:cstheme="minorHAnsi"/>
                        </w:rPr>
                        <w:t xml:space="preserve">not been openly archived. Please refer to the individual publications for information on </w:t>
                      </w:r>
                      <w:r w:rsidR="00CF4A87">
                        <w:rPr>
                          <w:rFonts w:cstheme="minorHAnsi"/>
                        </w:rPr>
                        <w:t>how to access these data</w:t>
                      </w:r>
                      <w:r>
                        <w:rPr>
                          <w:rFonts w:cstheme="minorHAnsi"/>
                        </w:rPr>
                        <w:t>.</w:t>
                      </w:r>
                    </w:p>
                    <w:p w14:paraId="24ABABD4" w14:textId="797E0683" w:rsidR="00182EBD" w:rsidRPr="00182EBD" w:rsidRDefault="006A67C5" w:rsidP="00182EB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182EBD">
                        <w:rPr>
                          <w:rFonts w:cstheme="minorHAnsi"/>
                        </w:rPr>
                        <w:t>Stakeholder perspectives on intervention scale-up</w:t>
                      </w:r>
                      <w:r w:rsidR="00CA284F" w:rsidRPr="00182EBD">
                        <w:rPr>
                          <w:rFonts w:cstheme="minorHAnsi"/>
                        </w:rPr>
                        <w:t xml:space="preserve">: </w:t>
                      </w:r>
                      <w:hyperlink r:id="rId10" w:tgtFrame="_blank" w:history="1">
                        <w:r w:rsidR="00182EBD" w:rsidRPr="00182EBD">
                          <w:rPr>
                            <w:rStyle w:val="Hyperlink"/>
                          </w:rPr>
                          <w:t>10.1186/s12889-023-15551-9</w:t>
                        </w:r>
                      </w:hyperlink>
                    </w:p>
                    <w:p w14:paraId="60449121" w14:textId="68EBA7C0" w:rsidR="00142AA1" w:rsidRPr="00182EBD" w:rsidRDefault="00142AA1" w:rsidP="00A05BF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182EBD">
                        <w:rPr>
                          <w:rFonts w:cstheme="minorHAnsi"/>
                        </w:rPr>
                        <w:t>Community engagement in the context of COVID-19</w:t>
                      </w:r>
                      <w:r w:rsidR="007E7FE2" w:rsidRPr="00182EBD">
                        <w:rPr>
                          <w:rFonts w:cstheme="minorHAnsi"/>
                        </w:rPr>
                        <w:t xml:space="preserve">: </w:t>
                      </w:r>
                      <w:hyperlink r:id="rId11" w:history="1">
                        <w:r w:rsidR="007E7FE2" w:rsidRPr="00182EBD">
                          <w:rPr>
                            <w:rStyle w:val="Hyperlink"/>
                            <w:rFonts w:cstheme="minorHAnsi"/>
                          </w:rPr>
                          <w:t>https://doi.org/10.14324/RFA.07.1.17</w:t>
                        </w:r>
                      </w:hyperlink>
                    </w:p>
                    <w:p w14:paraId="30B178B3" w14:textId="087CE816" w:rsidR="006A67C5" w:rsidRPr="006A67C5" w:rsidRDefault="006A67C5" w:rsidP="00552EF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</w:rPr>
                      </w:pPr>
                      <w:r w:rsidRPr="00EE57AB">
                        <w:rPr>
                          <w:rFonts w:cstheme="minorHAnsi"/>
                        </w:rPr>
                        <w:t>Process evaluation of intervention implementation during COVID-19</w:t>
                      </w:r>
                      <w:r w:rsidR="00CA284F" w:rsidRPr="00EE57AB">
                        <w:rPr>
                          <w:rFonts w:cstheme="minorHAnsi"/>
                        </w:rPr>
                        <w:t xml:space="preserve">: </w:t>
                      </w:r>
                      <w:hyperlink r:id="rId12" w:history="1">
                        <w:r w:rsidR="00501EF9" w:rsidRPr="00EE57AB">
                          <w:rPr>
                            <w:rStyle w:val="Hyperlink"/>
                            <w:rFonts w:cstheme="minorHAnsi"/>
                          </w:rPr>
                          <w:t>https://doi.org/10.1136/bmjopen-2024-089288</w:t>
                        </w:r>
                      </w:hyperlink>
                      <w:r w:rsidR="00501EF9" w:rsidRPr="00EE57AB">
                        <w:rPr>
                          <w:rFonts w:cstheme="minorHAnsi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934137" w14:textId="1547CC71" w:rsidR="007D57A0" w:rsidRDefault="0044158F">
      <w:pPr>
        <w:rPr>
          <w:rFonts w:cstheme="minorHAnsi"/>
        </w:rPr>
      </w:pPr>
      <w:r>
        <w:rPr>
          <w:rFonts w:cstheme="minorHAnsi"/>
        </w:rPr>
        <w:t xml:space="preserve">The full methods for the </w:t>
      </w:r>
      <w:proofErr w:type="spellStart"/>
      <w:r>
        <w:rPr>
          <w:rFonts w:cstheme="minorHAnsi"/>
        </w:rPr>
        <w:t>cRCT</w:t>
      </w:r>
      <w:proofErr w:type="spellEnd"/>
      <w:r>
        <w:rPr>
          <w:rFonts w:cstheme="minorHAnsi"/>
        </w:rPr>
        <w:t xml:space="preserve"> have been </w:t>
      </w:r>
      <w:r w:rsidR="00AE3E08">
        <w:rPr>
          <w:rFonts w:cstheme="minorHAnsi"/>
        </w:rPr>
        <w:t>described in the published study protocol, trial registration</w:t>
      </w:r>
      <w:r w:rsidR="00523C16">
        <w:rPr>
          <w:rFonts w:cstheme="minorHAnsi"/>
        </w:rPr>
        <w:t xml:space="preserve"> and main trial results publications:</w:t>
      </w:r>
    </w:p>
    <w:p w14:paraId="775B63B4" w14:textId="25B0E122" w:rsidR="00523C16" w:rsidRPr="00523C16" w:rsidRDefault="00523C16" w:rsidP="00523C16">
      <w:pPr>
        <w:pStyle w:val="ListParagraph"/>
        <w:numPr>
          <w:ilvl w:val="0"/>
          <w:numId w:val="4"/>
        </w:numPr>
        <w:rPr>
          <w:i/>
          <w:iCs/>
        </w:rPr>
      </w:pPr>
      <w:r>
        <w:t>Original trial protocol for a stepped-wedge trial:</w:t>
      </w:r>
      <w:r w:rsidR="00CA284F" w:rsidRPr="00CA284F">
        <w:rPr>
          <w:rFonts w:ascii="Merriweather Sans" w:hAnsi="Merriweather Sans"/>
          <w:color w:val="222222"/>
          <w:shd w:val="clear" w:color="auto" w:fill="FFFFFF"/>
        </w:rPr>
        <w:t xml:space="preserve"> </w:t>
      </w:r>
      <w:hyperlink r:id="rId13" w:history="1">
        <w:r w:rsidR="00CA284F" w:rsidRPr="00886045">
          <w:rPr>
            <w:rStyle w:val="Hyperlink"/>
          </w:rPr>
          <w:t>https://doi.org/10.1186/s13063-021-05167-y</w:t>
        </w:r>
      </w:hyperlink>
      <w:r w:rsidR="00CA284F">
        <w:t xml:space="preserve"> </w:t>
      </w:r>
    </w:p>
    <w:p w14:paraId="24498740" w14:textId="03BE207E" w:rsidR="00523C16" w:rsidRPr="00F11DF7" w:rsidRDefault="0017015A" w:rsidP="00523C16">
      <w:pPr>
        <w:pStyle w:val="ListParagraph"/>
        <w:numPr>
          <w:ilvl w:val="0"/>
          <w:numId w:val="4"/>
        </w:numPr>
        <w:rPr>
          <w:i/>
          <w:iCs/>
        </w:rPr>
      </w:pPr>
      <w:r>
        <w:t xml:space="preserve">Updated trial protocol for a </w:t>
      </w:r>
      <w:proofErr w:type="spellStart"/>
      <w:r>
        <w:t>cRCT</w:t>
      </w:r>
      <w:proofErr w:type="spellEnd"/>
      <w:r>
        <w:t xml:space="preserve">, due to the COVID-19 pandemic: </w:t>
      </w:r>
      <w:hyperlink r:id="rId14" w:history="1">
        <w:r w:rsidR="00CA284F" w:rsidRPr="00886045">
          <w:rPr>
            <w:rStyle w:val="Hyperlink"/>
          </w:rPr>
          <w:t>https://doi.org/10.1186/s13063-023-07243-x</w:t>
        </w:r>
      </w:hyperlink>
      <w:r w:rsidR="00CA284F">
        <w:t xml:space="preserve"> </w:t>
      </w:r>
    </w:p>
    <w:p w14:paraId="29822E44" w14:textId="0C16C022" w:rsidR="00F11DF7" w:rsidRPr="0017015A" w:rsidRDefault="00F11DF7" w:rsidP="00523C16">
      <w:pPr>
        <w:pStyle w:val="ListParagraph"/>
        <w:numPr>
          <w:ilvl w:val="0"/>
          <w:numId w:val="4"/>
        </w:numPr>
        <w:rPr>
          <w:i/>
          <w:iCs/>
        </w:rPr>
      </w:pPr>
      <w:r>
        <w:t xml:space="preserve">Trial registration: </w:t>
      </w:r>
      <w:hyperlink r:id="rId15" w:history="1">
        <w:r w:rsidR="00F20775" w:rsidRPr="00F20775">
          <w:rPr>
            <w:rStyle w:val="Hyperlink"/>
          </w:rPr>
          <w:t>https://doi.org/10.1186/ISRCTN42219712</w:t>
        </w:r>
      </w:hyperlink>
    </w:p>
    <w:p w14:paraId="7736D0E3" w14:textId="7EC53427" w:rsidR="0017015A" w:rsidRPr="0017015A" w:rsidRDefault="0017015A" w:rsidP="00523C16">
      <w:pPr>
        <w:pStyle w:val="ListParagraph"/>
        <w:numPr>
          <w:ilvl w:val="0"/>
          <w:numId w:val="4"/>
        </w:numPr>
        <w:rPr>
          <w:i/>
          <w:iCs/>
        </w:rPr>
      </w:pPr>
      <w:r>
        <w:t xml:space="preserve">Main trial findings: </w:t>
      </w:r>
      <w:r w:rsidR="00CA284F" w:rsidRPr="00CA284F">
        <w:rPr>
          <w:highlight w:val="yellow"/>
        </w:rPr>
        <w:t>To be added</w:t>
      </w:r>
    </w:p>
    <w:p w14:paraId="64EBDC57" w14:textId="15C74929" w:rsidR="0017015A" w:rsidRDefault="0017015A" w:rsidP="0017015A">
      <w:pPr>
        <w:rPr>
          <w:i/>
        </w:rPr>
      </w:pPr>
      <w:r>
        <w:t xml:space="preserve">Briefly, </w:t>
      </w:r>
      <w:proofErr w:type="spellStart"/>
      <w:r w:rsidR="006D7A98">
        <w:t>Alfadanga</w:t>
      </w:r>
      <w:proofErr w:type="spellEnd"/>
      <w:r w:rsidR="006D7A98">
        <w:t xml:space="preserve"> upazila was divided into 12 clusters of approximately equal population size using government </w:t>
      </w:r>
      <w:r w:rsidR="00536000">
        <w:t>census data. Within these 12 clusters, between 2-5 villages were purposefully selected</w:t>
      </w:r>
      <w:r w:rsidR="0039289C">
        <w:t xml:space="preserve"> to achieve between 800-1000 households per cluster,</w:t>
      </w:r>
      <w:r w:rsidR="00536000">
        <w:t xml:space="preserve"> </w:t>
      </w:r>
      <w:proofErr w:type="gramStart"/>
      <w:r w:rsidR="00536000">
        <w:t>according</w:t>
      </w:r>
      <w:proofErr w:type="gramEnd"/>
      <w:r w:rsidR="00536000">
        <w:t xml:space="preserve"> the following eligibility criteria: </w:t>
      </w:r>
      <w:r w:rsidR="00890679">
        <w:t xml:space="preserve">a) </w:t>
      </w:r>
      <w:r w:rsidR="00A670F5" w:rsidRPr="00A670F5">
        <w:t xml:space="preserve">they do not sit on a border with a neighbouring study cluster; </w:t>
      </w:r>
      <w:r w:rsidR="00890679">
        <w:t xml:space="preserve">b) </w:t>
      </w:r>
      <w:r w:rsidR="00A670F5" w:rsidRPr="00A670F5">
        <w:t xml:space="preserve">they are not a major trading centre or administrative centre; </w:t>
      </w:r>
      <w:r w:rsidR="0039289C">
        <w:t xml:space="preserve">c) </w:t>
      </w:r>
      <w:r w:rsidR="00A670F5" w:rsidRPr="00A670F5">
        <w:t xml:space="preserve">they have a minimum of 50 households. </w:t>
      </w:r>
      <w:r w:rsidR="0039289C">
        <w:t xml:space="preserve">A </w:t>
      </w:r>
      <w:r w:rsidR="007D47BE">
        <w:t xml:space="preserve">population census was conducted </w:t>
      </w:r>
      <w:r w:rsidR="000540A2">
        <w:t xml:space="preserve">between November 2019 – </w:t>
      </w:r>
      <w:r w:rsidR="00567614">
        <w:t>January</w:t>
      </w:r>
      <w:r w:rsidR="000540A2">
        <w:t xml:space="preserve"> 202</w:t>
      </w:r>
      <w:r w:rsidR="00567614">
        <w:t xml:space="preserve">0 </w:t>
      </w:r>
      <w:r w:rsidR="007D47BE">
        <w:t xml:space="preserve">to form a sampling frame, with each household within purposefully selected villages </w:t>
      </w:r>
      <w:r w:rsidR="00567614">
        <w:t xml:space="preserve">visited, and all household members aged 25 and older registered. A unique study ID was assigned to </w:t>
      </w:r>
      <w:proofErr w:type="gramStart"/>
      <w:r w:rsidR="00567614">
        <w:t>each individual</w:t>
      </w:r>
      <w:proofErr w:type="gramEnd"/>
      <w:r w:rsidR="00567614">
        <w:t xml:space="preserve"> using the following </w:t>
      </w:r>
      <w:r w:rsidR="00581B78">
        <w:t xml:space="preserve">formulation: </w:t>
      </w:r>
      <w:r w:rsidR="00663048" w:rsidRPr="006D3C32">
        <w:rPr>
          <w:i/>
        </w:rPr>
        <w:t>Cluster ID (2 digits) + village ID (2 digits) + household number (3 digits) + person number (1 digit)</w:t>
      </w:r>
      <w:r w:rsidR="00663048">
        <w:rPr>
          <w:i/>
        </w:rPr>
        <w:t>.</w:t>
      </w:r>
    </w:p>
    <w:p w14:paraId="6E133AAC" w14:textId="136C09CC" w:rsidR="00663048" w:rsidRDefault="00663048" w:rsidP="0017015A">
      <w:pPr>
        <w:rPr>
          <w:iCs/>
        </w:rPr>
      </w:pPr>
      <w:r>
        <w:rPr>
          <w:iCs/>
        </w:rPr>
        <w:t>Three cross-sectional surveys were conducted</w:t>
      </w:r>
      <w:r w:rsidR="00D77D56">
        <w:rPr>
          <w:iCs/>
        </w:rPr>
        <w:t xml:space="preserve">: a) pre-COVID-19 baseline; b) post-COVID-19 baseline; c) endline. </w:t>
      </w:r>
      <w:r w:rsidR="00414D25">
        <w:rPr>
          <w:iCs/>
        </w:rPr>
        <w:t xml:space="preserve">For each survey, a random sample of individuals were </w:t>
      </w:r>
      <w:r w:rsidR="00FA5202">
        <w:rPr>
          <w:iCs/>
        </w:rPr>
        <w:t xml:space="preserve">selected </w:t>
      </w:r>
      <w:r w:rsidR="00044623">
        <w:rPr>
          <w:iCs/>
        </w:rPr>
        <w:t xml:space="preserve">using two-stage simple random sampling, with the household </w:t>
      </w:r>
      <w:r w:rsidR="00A90D6F">
        <w:rPr>
          <w:iCs/>
        </w:rPr>
        <w:t xml:space="preserve">randomly selected then one eligible individual selected from these households. For the </w:t>
      </w:r>
      <w:r w:rsidR="00A90D6F" w:rsidRPr="00E16E17">
        <w:rPr>
          <w:iCs/>
        </w:rPr>
        <w:t>endline survey,</w:t>
      </w:r>
      <w:r w:rsidR="00A90D6F">
        <w:rPr>
          <w:iCs/>
        </w:rPr>
        <w:t xml:space="preserve"> </w:t>
      </w:r>
      <w:r w:rsidR="006F6E11">
        <w:rPr>
          <w:iCs/>
        </w:rPr>
        <w:t xml:space="preserve">individuals who were identified as </w:t>
      </w:r>
      <w:r w:rsidR="00A504D1">
        <w:rPr>
          <w:iCs/>
        </w:rPr>
        <w:t>living with intermediate hyperglycaemia</w:t>
      </w:r>
      <w:r w:rsidR="006F6E11">
        <w:rPr>
          <w:iCs/>
        </w:rPr>
        <w:t xml:space="preserve"> in the p</w:t>
      </w:r>
      <w:r w:rsidR="00E5519B">
        <w:rPr>
          <w:iCs/>
        </w:rPr>
        <w:t>ost-</w:t>
      </w:r>
      <w:r w:rsidR="006F6E11">
        <w:rPr>
          <w:iCs/>
        </w:rPr>
        <w:t xml:space="preserve">COVID-19 </w:t>
      </w:r>
      <w:r w:rsidR="00E5519B">
        <w:rPr>
          <w:iCs/>
        </w:rPr>
        <w:t xml:space="preserve">baseline </w:t>
      </w:r>
      <w:r w:rsidR="006F6E11">
        <w:rPr>
          <w:iCs/>
        </w:rPr>
        <w:t xml:space="preserve">survey </w:t>
      </w:r>
      <w:r w:rsidR="00CF2609">
        <w:rPr>
          <w:iCs/>
        </w:rPr>
        <w:t xml:space="preserve">were purposefully </w:t>
      </w:r>
      <w:r w:rsidR="005D13A8">
        <w:rPr>
          <w:iCs/>
        </w:rPr>
        <w:t xml:space="preserve">selected. </w:t>
      </w:r>
      <w:r w:rsidR="005B3E9F" w:rsidRPr="005B3E9F">
        <w:rPr>
          <w:b/>
          <w:bCs/>
          <w:iCs/>
        </w:rPr>
        <w:t>Therefore, i</w:t>
      </w:r>
      <w:r w:rsidR="005D13A8" w:rsidRPr="005B3E9F">
        <w:rPr>
          <w:b/>
          <w:bCs/>
          <w:iCs/>
        </w:rPr>
        <w:t>ndividuals</w:t>
      </w:r>
      <w:r w:rsidR="00A504D1">
        <w:rPr>
          <w:b/>
          <w:bCs/>
          <w:iCs/>
        </w:rPr>
        <w:t xml:space="preserve"> with intermediate </w:t>
      </w:r>
      <w:r w:rsidR="00D83478">
        <w:rPr>
          <w:b/>
          <w:bCs/>
          <w:iCs/>
        </w:rPr>
        <w:t>h</w:t>
      </w:r>
      <w:r w:rsidR="00A504D1">
        <w:rPr>
          <w:b/>
          <w:bCs/>
          <w:iCs/>
        </w:rPr>
        <w:t>yperglycaemia</w:t>
      </w:r>
      <w:r w:rsidR="005D13A8" w:rsidRPr="005B3E9F">
        <w:rPr>
          <w:b/>
          <w:bCs/>
          <w:iCs/>
        </w:rPr>
        <w:t xml:space="preserve"> could be </w:t>
      </w:r>
      <w:r w:rsidR="005B3E9F" w:rsidRPr="005B3E9F">
        <w:rPr>
          <w:b/>
          <w:bCs/>
          <w:iCs/>
        </w:rPr>
        <w:t xml:space="preserve">sampled twice </w:t>
      </w:r>
      <w:r w:rsidR="00E16E17">
        <w:rPr>
          <w:b/>
          <w:bCs/>
          <w:iCs/>
        </w:rPr>
        <w:t xml:space="preserve">for the endline </w:t>
      </w:r>
      <w:r w:rsidR="005B3E9F" w:rsidRPr="005B3E9F">
        <w:rPr>
          <w:b/>
          <w:bCs/>
          <w:iCs/>
        </w:rPr>
        <w:t>– randomly and purposefully.</w:t>
      </w:r>
      <w:r w:rsidR="005B3E9F">
        <w:rPr>
          <w:b/>
          <w:bCs/>
          <w:iCs/>
        </w:rPr>
        <w:t xml:space="preserve"> The random sample was re-done for each </w:t>
      </w:r>
      <w:r w:rsidR="000F1ECE">
        <w:rPr>
          <w:b/>
          <w:bCs/>
          <w:iCs/>
        </w:rPr>
        <w:t>survey;</w:t>
      </w:r>
      <w:r w:rsidR="005B3E9F">
        <w:rPr>
          <w:b/>
          <w:bCs/>
          <w:iCs/>
        </w:rPr>
        <w:t xml:space="preserve"> </w:t>
      </w:r>
      <w:proofErr w:type="gramStart"/>
      <w:r w:rsidR="00B858FD">
        <w:rPr>
          <w:b/>
          <w:bCs/>
          <w:iCs/>
        </w:rPr>
        <w:t>therefore</w:t>
      </w:r>
      <w:proofErr w:type="gramEnd"/>
      <w:r w:rsidR="00B858FD">
        <w:rPr>
          <w:b/>
          <w:bCs/>
          <w:iCs/>
        </w:rPr>
        <w:t xml:space="preserve"> individuals could be sampled for more than one of these </w:t>
      </w:r>
      <w:r w:rsidR="00B858FD">
        <w:rPr>
          <w:b/>
          <w:bCs/>
          <w:iCs/>
        </w:rPr>
        <w:lastRenderedPageBreak/>
        <w:t xml:space="preserve">surveys by chance. </w:t>
      </w:r>
      <w:r w:rsidR="000F1ECE">
        <w:rPr>
          <w:iCs/>
        </w:rPr>
        <w:t xml:space="preserve">The table below indicates the sample for each survey, and the completion rates.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842AA" w14:paraId="73B9A092" w14:textId="77777777" w:rsidTr="00897D4A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78850C3" w14:textId="6CCA6356" w:rsidR="003842AA" w:rsidRPr="0040117C" w:rsidRDefault="00D918DE" w:rsidP="00897D4A">
            <w:pPr>
              <w:jc w:val="center"/>
              <w:rPr>
                <w:b/>
                <w:bCs/>
                <w:iCs/>
              </w:rPr>
            </w:pPr>
            <w:r w:rsidRPr="0040117C">
              <w:rPr>
                <w:b/>
                <w:bCs/>
                <w:iCs/>
              </w:rPr>
              <w:t>Survey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38EEDDC" w14:textId="17A670F4" w:rsidR="003842AA" w:rsidRPr="0040117C" w:rsidRDefault="00D918DE" w:rsidP="00897D4A">
            <w:pPr>
              <w:jc w:val="center"/>
              <w:rPr>
                <w:b/>
                <w:bCs/>
                <w:iCs/>
              </w:rPr>
            </w:pPr>
            <w:r w:rsidRPr="0040117C">
              <w:rPr>
                <w:b/>
                <w:bCs/>
                <w:iCs/>
              </w:rPr>
              <w:t>Sampled individuals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6D47BA0E" w14:textId="3FC6417C" w:rsidR="003842AA" w:rsidRPr="0040117C" w:rsidRDefault="00D918DE" w:rsidP="00897D4A">
            <w:pPr>
              <w:jc w:val="center"/>
              <w:rPr>
                <w:b/>
                <w:bCs/>
                <w:iCs/>
              </w:rPr>
            </w:pPr>
            <w:r w:rsidRPr="0040117C">
              <w:rPr>
                <w:b/>
                <w:bCs/>
                <w:iCs/>
              </w:rPr>
              <w:t>Completed recruitment</w:t>
            </w:r>
            <w:r w:rsidR="00897D4A">
              <w:rPr>
                <w:b/>
                <w:bCs/>
                <w:iCs/>
              </w:rPr>
              <w:t xml:space="preserve"> of eligible participants</w:t>
            </w:r>
          </w:p>
        </w:tc>
      </w:tr>
      <w:tr w:rsidR="003842AA" w14:paraId="07820864" w14:textId="77777777" w:rsidTr="003842AA">
        <w:tc>
          <w:tcPr>
            <w:tcW w:w="3020" w:type="dxa"/>
          </w:tcPr>
          <w:p w14:paraId="3351FA0D" w14:textId="08CB4C04" w:rsidR="003842AA" w:rsidRDefault="00D918DE" w:rsidP="0017015A">
            <w:pPr>
              <w:rPr>
                <w:iCs/>
              </w:rPr>
            </w:pPr>
            <w:r>
              <w:rPr>
                <w:iCs/>
              </w:rPr>
              <w:t xml:space="preserve">a) </w:t>
            </w:r>
            <w:proofErr w:type="gramStart"/>
            <w:r w:rsidR="003F22C7">
              <w:rPr>
                <w:iCs/>
              </w:rPr>
              <w:t>Old</w:t>
            </w:r>
            <w:proofErr w:type="gramEnd"/>
            <w:r>
              <w:rPr>
                <w:iCs/>
              </w:rPr>
              <w:t xml:space="preserve"> baseline </w:t>
            </w:r>
            <w:r w:rsidR="0080049D">
              <w:rPr>
                <w:iCs/>
              </w:rPr>
              <w:t>(February – March 2020)</w:t>
            </w:r>
          </w:p>
        </w:tc>
        <w:tc>
          <w:tcPr>
            <w:tcW w:w="3021" w:type="dxa"/>
          </w:tcPr>
          <w:p w14:paraId="6AF285AF" w14:textId="0E83EA43" w:rsidR="003842AA" w:rsidRDefault="0040117C" w:rsidP="0040117C">
            <w:pPr>
              <w:rPr>
                <w:iCs/>
              </w:rPr>
            </w:pPr>
            <w:r>
              <w:rPr>
                <w:iCs/>
              </w:rPr>
              <w:t>Total:</w:t>
            </w:r>
            <w:r w:rsidR="00167AFB">
              <w:rPr>
                <w:iCs/>
              </w:rPr>
              <w:t xml:space="preserve"> 1320</w:t>
            </w:r>
          </w:p>
        </w:tc>
        <w:tc>
          <w:tcPr>
            <w:tcW w:w="3021" w:type="dxa"/>
          </w:tcPr>
          <w:p w14:paraId="1FE63FCF" w14:textId="18A56A03" w:rsidR="00D918DE" w:rsidRDefault="00D918DE" w:rsidP="00D918DE">
            <w:pPr>
              <w:rPr>
                <w:iCs/>
              </w:rPr>
            </w:pPr>
            <w:r>
              <w:rPr>
                <w:iCs/>
              </w:rPr>
              <w:t>Anthropometry:</w:t>
            </w:r>
            <w:r w:rsidR="00772096">
              <w:rPr>
                <w:iCs/>
              </w:rPr>
              <w:t xml:space="preserve"> 948</w:t>
            </w:r>
          </w:p>
          <w:p w14:paraId="53FA6CFE" w14:textId="77777777" w:rsidR="003842AA" w:rsidRDefault="00D918DE" w:rsidP="00D918DE">
            <w:pPr>
              <w:rPr>
                <w:iCs/>
              </w:rPr>
            </w:pPr>
            <w:r>
              <w:rPr>
                <w:iCs/>
              </w:rPr>
              <w:t>Questionnaire:</w:t>
            </w:r>
            <w:r w:rsidR="00772096">
              <w:rPr>
                <w:iCs/>
              </w:rPr>
              <w:t xml:space="preserve"> 9</w:t>
            </w:r>
            <w:r w:rsidR="00C04FEC">
              <w:rPr>
                <w:iCs/>
              </w:rPr>
              <w:t>48</w:t>
            </w:r>
          </w:p>
          <w:p w14:paraId="74FF76EB" w14:textId="761A14BE" w:rsidR="00900AFE" w:rsidRDefault="00900AFE" w:rsidP="00D918DE">
            <w:pPr>
              <w:rPr>
                <w:iCs/>
              </w:rPr>
            </w:pPr>
            <w:r>
              <w:rPr>
                <w:iCs/>
              </w:rPr>
              <w:t>Total: 950</w:t>
            </w:r>
          </w:p>
        </w:tc>
      </w:tr>
      <w:tr w:rsidR="003842AA" w14:paraId="50CE500B" w14:textId="77777777" w:rsidTr="003842AA">
        <w:tc>
          <w:tcPr>
            <w:tcW w:w="3020" w:type="dxa"/>
          </w:tcPr>
          <w:p w14:paraId="228890EA" w14:textId="0354EB92" w:rsidR="003842AA" w:rsidRDefault="00D918DE" w:rsidP="0017015A">
            <w:pPr>
              <w:rPr>
                <w:iCs/>
              </w:rPr>
            </w:pPr>
            <w:r>
              <w:rPr>
                <w:iCs/>
              </w:rPr>
              <w:t xml:space="preserve">b) </w:t>
            </w:r>
            <w:proofErr w:type="gramStart"/>
            <w:r w:rsidR="003F22C7">
              <w:rPr>
                <w:iCs/>
              </w:rPr>
              <w:t>New</w:t>
            </w:r>
            <w:proofErr w:type="gramEnd"/>
            <w:r>
              <w:rPr>
                <w:iCs/>
              </w:rPr>
              <w:t xml:space="preserve"> baseline</w:t>
            </w:r>
            <w:r w:rsidR="007A0DF5">
              <w:rPr>
                <w:iCs/>
              </w:rPr>
              <w:t xml:space="preserve"> (January – March 2021)</w:t>
            </w:r>
          </w:p>
        </w:tc>
        <w:tc>
          <w:tcPr>
            <w:tcW w:w="3021" w:type="dxa"/>
          </w:tcPr>
          <w:p w14:paraId="6C2C1767" w14:textId="336AEA40" w:rsidR="00D918DE" w:rsidRDefault="00D918DE" w:rsidP="0017015A">
            <w:pPr>
              <w:rPr>
                <w:iCs/>
              </w:rPr>
            </w:pPr>
            <w:r>
              <w:rPr>
                <w:iCs/>
              </w:rPr>
              <w:t>Total:</w:t>
            </w:r>
            <w:r w:rsidR="00167AFB">
              <w:rPr>
                <w:iCs/>
              </w:rPr>
              <w:t xml:space="preserve"> 1584</w:t>
            </w:r>
          </w:p>
        </w:tc>
        <w:tc>
          <w:tcPr>
            <w:tcW w:w="3021" w:type="dxa"/>
          </w:tcPr>
          <w:p w14:paraId="329676ED" w14:textId="5A64C36F" w:rsidR="003842AA" w:rsidRDefault="00D918DE" w:rsidP="0017015A">
            <w:pPr>
              <w:rPr>
                <w:iCs/>
              </w:rPr>
            </w:pPr>
            <w:r>
              <w:rPr>
                <w:iCs/>
              </w:rPr>
              <w:t>Anthropometry:</w:t>
            </w:r>
            <w:r w:rsidR="00A94550">
              <w:rPr>
                <w:iCs/>
              </w:rPr>
              <w:t xml:space="preserve"> 1392</w:t>
            </w:r>
          </w:p>
          <w:p w14:paraId="06660253" w14:textId="22A492A1" w:rsidR="00D918DE" w:rsidRDefault="00D918DE" w:rsidP="0017015A">
            <w:pPr>
              <w:rPr>
                <w:iCs/>
              </w:rPr>
            </w:pPr>
            <w:r>
              <w:rPr>
                <w:iCs/>
              </w:rPr>
              <w:t>Questionnaire:</w:t>
            </w:r>
            <w:r w:rsidR="00A94550">
              <w:rPr>
                <w:iCs/>
              </w:rPr>
              <w:t xml:space="preserve"> 1392</w:t>
            </w:r>
          </w:p>
          <w:p w14:paraId="728AC5AC" w14:textId="4AD59005" w:rsidR="00900AFE" w:rsidRDefault="00900AFE" w:rsidP="0017015A">
            <w:pPr>
              <w:rPr>
                <w:iCs/>
              </w:rPr>
            </w:pPr>
            <w:r>
              <w:rPr>
                <w:iCs/>
              </w:rPr>
              <w:t>Total:</w:t>
            </w:r>
            <w:r w:rsidR="008863D9">
              <w:rPr>
                <w:iCs/>
              </w:rPr>
              <w:t xml:space="preserve"> 1392</w:t>
            </w:r>
          </w:p>
        </w:tc>
      </w:tr>
      <w:tr w:rsidR="003842AA" w14:paraId="4B4835F3" w14:textId="77777777" w:rsidTr="003842AA">
        <w:tc>
          <w:tcPr>
            <w:tcW w:w="3020" w:type="dxa"/>
          </w:tcPr>
          <w:p w14:paraId="15E199E1" w14:textId="622FC0D5" w:rsidR="003842AA" w:rsidRPr="0072196C" w:rsidRDefault="00D918DE" w:rsidP="0017015A">
            <w:pPr>
              <w:rPr>
                <w:iCs/>
              </w:rPr>
            </w:pPr>
            <w:r w:rsidRPr="0072196C">
              <w:rPr>
                <w:iCs/>
              </w:rPr>
              <w:t xml:space="preserve">c) </w:t>
            </w:r>
            <w:r w:rsidR="00900AFE" w:rsidRPr="0072196C">
              <w:rPr>
                <w:iCs/>
              </w:rPr>
              <w:t>E</w:t>
            </w:r>
            <w:r w:rsidRPr="0072196C">
              <w:rPr>
                <w:iCs/>
              </w:rPr>
              <w:t>ndline</w:t>
            </w:r>
            <w:r w:rsidR="00502B0E">
              <w:rPr>
                <w:iCs/>
              </w:rPr>
              <w:t xml:space="preserve"> (September – November 2022)</w:t>
            </w:r>
          </w:p>
        </w:tc>
        <w:tc>
          <w:tcPr>
            <w:tcW w:w="3021" w:type="dxa"/>
          </w:tcPr>
          <w:p w14:paraId="683E88F7" w14:textId="6592EBE2" w:rsidR="003842AA" w:rsidRPr="0072196C" w:rsidRDefault="00D918DE" w:rsidP="0017015A">
            <w:pPr>
              <w:rPr>
                <w:iCs/>
              </w:rPr>
            </w:pPr>
            <w:r w:rsidRPr="0072196C">
              <w:rPr>
                <w:iCs/>
              </w:rPr>
              <w:t>Random:</w:t>
            </w:r>
            <w:r w:rsidR="00344C9E" w:rsidRPr="0072196C">
              <w:rPr>
                <w:iCs/>
              </w:rPr>
              <w:t xml:space="preserve"> 1584</w:t>
            </w:r>
          </w:p>
          <w:p w14:paraId="5D832334" w14:textId="6C24DDAA" w:rsidR="00D918DE" w:rsidRPr="0072196C" w:rsidRDefault="00B12F28" w:rsidP="0017015A">
            <w:pPr>
              <w:rPr>
                <w:iCs/>
              </w:rPr>
            </w:pPr>
            <w:r>
              <w:rPr>
                <w:iCs/>
              </w:rPr>
              <w:t>Intermediate hyperglycaemia</w:t>
            </w:r>
            <w:r w:rsidR="0033045D">
              <w:rPr>
                <w:iCs/>
              </w:rPr>
              <w:t xml:space="preserve"> cohort</w:t>
            </w:r>
            <w:r w:rsidR="00D918DE" w:rsidRPr="0072196C">
              <w:rPr>
                <w:iCs/>
              </w:rPr>
              <w:t>:</w:t>
            </w:r>
            <w:r w:rsidR="00344C9E" w:rsidRPr="0072196C">
              <w:rPr>
                <w:iCs/>
              </w:rPr>
              <w:t xml:space="preserve"> 313</w:t>
            </w:r>
          </w:p>
          <w:p w14:paraId="0AD90517" w14:textId="2C1DC522" w:rsidR="00D918DE" w:rsidRPr="0072196C" w:rsidRDefault="00D918DE" w:rsidP="0017015A">
            <w:pPr>
              <w:rPr>
                <w:iCs/>
              </w:rPr>
            </w:pPr>
            <w:r w:rsidRPr="0072196C">
              <w:rPr>
                <w:iCs/>
              </w:rPr>
              <w:t>Total:</w:t>
            </w:r>
            <w:r w:rsidR="00344C9E" w:rsidRPr="0072196C">
              <w:rPr>
                <w:iCs/>
              </w:rPr>
              <w:t xml:space="preserve"> </w:t>
            </w:r>
            <w:r w:rsidR="005F417C" w:rsidRPr="0072196C">
              <w:rPr>
                <w:iCs/>
              </w:rPr>
              <w:t>18</w:t>
            </w:r>
            <w:r w:rsidR="00F05A0E" w:rsidRPr="0072196C">
              <w:rPr>
                <w:iCs/>
              </w:rPr>
              <w:t>68</w:t>
            </w:r>
          </w:p>
        </w:tc>
        <w:tc>
          <w:tcPr>
            <w:tcW w:w="3021" w:type="dxa"/>
          </w:tcPr>
          <w:p w14:paraId="66983612" w14:textId="1F0E7D37" w:rsidR="00D918DE" w:rsidRPr="0072196C" w:rsidRDefault="00D918DE" w:rsidP="00D918DE">
            <w:pPr>
              <w:rPr>
                <w:iCs/>
              </w:rPr>
            </w:pPr>
            <w:r w:rsidRPr="0072196C">
              <w:rPr>
                <w:iCs/>
              </w:rPr>
              <w:t>Anthropometry:</w:t>
            </w:r>
            <w:r w:rsidR="00C0004C" w:rsidRPr="0072196C">
              <w:rPr>
                <w:iCs/>
              </w:rPr>
              <w:t xml:space="preserve"> 1589</w:t>
            </w:r>
          </w:p>
          <w:p w14:paraId="5F99042B" w14:textId="66CE4076" w:rsidR="003842AA" w:rsidRPr="0072196C" w:rsidRDefault="00D918DE" w:rsidP="00D918DE">
            <w:pPr>
              <w:rPr>
                <w:iCs/>
              </w:rPr>
            </w:pPr>
            <w:r w:rsidRPr="0072196C">
              <w:rPr>
                <w:iCs/>
              </w:rPr>
              <w:t>Questionnaire:</w:t>
            </w:r>
            <w:r w:rsidR="0072196C" w:rsidRPr="0072196C">
              <w:rPr>
                <w:iCs/>
              </w:rPr>
              <w:t xml:space="preserve"> 15</w:t>
            </w:r>
            <w:r w:rsidR="00897D4A">
              <w:rPr>
                <w:iCs/>
              </w:rPr>
              <w:t>89</w:t>
            </w:r>
          </w:p>
          <w:p w14:paraId="42A4E73F" w14:textId="3CFB3E45" w:rsidR="00900AFE" w:rsidRDefault="00900AFE" w:rsidP="00D918DE">
            <w:pPr>
              <w:rPr>
                <w:iCs/>
              </w:rPr>
            </w:pPr>
            <w:r w:rsidRPr="0072196C">
              <w:rPr>
                <w:iCs/>
              </w:rPr>
              <w:t>Total:</w:t>
            </w:r>
            <w:r w:rsidR="002362B6" w:rsidRPr="0072196C">
              <w:rPr>
                <w:iCs/>
              </w:rPr>
              <w:t xml:space="preserve"> 158</w:t>
            </w:r>
            <w:r w:rsidR="00897D4A">
              <w:rPr>
                <w:iCs/>
              </w:rPr>
              <w:t>9</w:t>
            </w:r>
          </w:p>
        </w:tc>
      </w:tr>
    </w:tbl>
    <w:p w14:paraId="31D26746" w14:textId="77777777" w:rsidR="009E4610" w:rsidRDefault="009E4610" w:rsidP="00E5782E">
      <w:pPr>
        <w:spacing w:after="0" w:line="240" w:lineRule="auto"/>
        <w:rPr>
          <w:iCs/>
        </w:rPr>
      </w:pPr>
    </w:p>
    <w:p w14:paraId="2BDB6DED" w14:textId="67F6FC78" w:rsidR="00A4410B" w:rsidRPr="0074780C" w:rsidRDefault="009E4610" w:rsidP="009E4610">
      <w:r>
        <w:rPr>
          <w:iCs/>
        </w:rPr>
        <w:t>Each cross-sectional survey round involved two surveys:</w:t>
      </w:r>
      <w:r w:rsidR="001E4D0F">
        <w:rPr>
          <w:iCs/>
        </w:rPr>
        <w:t xml:space="preserve"> a) a</w:t>
      </w:r>
      <w:r>
        <w:rPr>
          <w:iCs/>
        </w:rPr>
        <w:t>nthropometr</w:t>
      </w:r>
      <w:r w:rsidR="001E4D0F">
        <w:rPr>
          <w:iCs/>
        </w:rPr>
        <w:t>y; b) q</w:t>
      </w:r>
      <w:r>
        <w:rPr>
          <w:iCs/>
        </w:rPr>
        <w:t>uestionnaire</w:t>
      </w:r>
      <w:r w:rsidR="001E4D0F">
        <w:rPr>
          <w:iCs/>
        </w:rPr>
        <w:t xml:space="preserve">. </w:t>
      </w:r>
      <w:r w:rsidR="001E4D0F">
        <w:t xml:space="preserve">Individuals were consented to each survey separately and were allowed to take part in one without completing the other. </w:t>
      </w:r>
      <w:r w:rsidR="00F11DF7">
        <w:t xml:space="preserve">Information about the content of each survey and how the data were collected are described in the protocol, study registration and </w:t>
      </w:r>
      <w:r w:rsidR="00F20775">
        <w:t xml:space="preserve">main trial paper. </w:t>
      </w:r>
    </w:p>
    <w:p w14:paraId="0AD84091" w14:textId="77777777" w:rsidR="00E5782E" w:rsidRPr="001572AB" w:rsidRDefault="00E5782E" w:rsidP="009E4610"/>
    <w:p w14:paraId="632ADC48" w14:textId="615812DB" w:rsidR="009720DC" w:rsidRPr="009E4610" w:rsidRDefault="009720DC" w:rsidP="009E4610">
      <w:pPr>
        <w:rPr>
          <w:iCs/>
        </w:rPr>
      </w:pPr>
      <w:r w:rsidRPr="009E4610">
        <w:rPr>
          <w:i/>
          <w:iCs/>
        </w:rPr>
        <w:t>List of files:</w:t>
      </w:r>
    </w:p>
    <w:p w14:paraId="72858069" w14:textId="08B55817" w:rsidR="006B2438" w:rsidRDefault="001800BD">
      <w:r>
        <w:t>Three data files</w:t>
      </w:r>
      <w:r w:rsidR="0060143B">
        <w:t xml:space="preserve">, in both .csv and </w:t>
      </w:r>
      <w:proofErr w:type="gramStart"/>
      <w:r w:rsidR="0060143B">
        <w:t>Stata .</w:t>
      </w:r>
      <w:proofErr w:type="spellStart"/>
      <w:r w:rsidR="0060143B">
        <w:t>dta</w:t>
      </w:r>
      <w:proofErr w:type="spellEnd"/>
      <w:proofErr w:type="gramEnd"/>
      <w:r w:rsidR="0060143B">
        <w:t xml:space="preserve"> formats,</w:t>
      </w:r>
      <w:r>
        <w:t xml:space="preserve"> and </w:t>
      </w:r>
      <w:r w:rsidR="00A21783">
        <w:t>meta-data are</w:t>
      </w:r>
      <w:r w:rsidR="006B2438">
        <w:t xml:space="preserve"> available:</w:t>
      </w:r>
    </w:p>
    <w:p w14:paraId="14C8DE33" w14:textId="77777777" w:rsidR="00E05A29" w:rsidRDefault="006B2438" w:rsidP="002D09B2">
      <w:pPr>
        <w:pStyle w:val="ListParagraph"/>
        <w:numPr>
          <w:ilvl w:val="0"/>
          <w:numId w:val="7"/>
        </w:numPr>
      </w:pPr>
      <w:r>
        <w:t>DClareOldBaseline.csv</w:t>
      </w:r>
      <w:r w:rsidR="00AF352A">
        <w:t xml:space="preserve">, </w:t>
      </w:r>
      <w:proofErr w:type="spellStart"/>
      <w:r w:rsidR="00AF352A">
        <w:t>DClareOldBaseline.dta</w:t>
      </w:r>
      <w:proofErr w:type="spellEnd"/>
    </w:p>
    <w:p w14:paraId="4BEBE771" w14:textId="2863B94F" w:rsidR="00AF352A" w:rsidRDefault="00AF352A" w:rsidP="002D09B2">
      <w:pPr>
        <w:pStyle w:val="ListParagraph"/>
        <w:numPr>
          <w:ilvl w:val="0"/>
          <w:numId w:val="7"/>
        </w:numPr>
      </w:pPr>
      <w:r>
        <w:t>DClare</w:t>
      </w:r>
      <w:r w:rsidR="00E05A29">
        <w:t>New</w:t>
      </w:r>
      <w:r>
        <w:t xml:space="preserve">Baseline.csv, </w:t>
      </w:r>
      <w:proofErr w:type="spellStart"/>
      <w:r>
        <w:t>DClare</w:t>
      </w:r>
      <w:r w:rsidR="00E05A29">
        <w:t>New</w:t>
      </w:r>
      <w:r>
        <w:t>Baseline.dta</w:t>
      </w:r>
      <w:proofErr w:type="spellEnd"/>
    </w:p>
    <w:p w14:paraId="1BDF9763" w14:textId="38E11BA4" w:rsidR="00A4410B" w:rsidRDefault="00E05A29" w:rsidP="002D09B2">
      <w:pPr>
        <w:pStyle w:val="ListParagraph"/>
        <w:numPr>
          <w:ilvl w:val="0"/>
          <w:numId w:val="7"/>
        </w:numPr>
      </w:pPr>
      <w:r>
        <w:t xml:space="preserve">DClareEndline.csv, </w:t>
      </w:r>
      <w:proofErr w:type="spellStart"/>
      <w:r>
        <w:t>DClareEndline.dta</w:t>
      </w:r>
      <w:proofErr w:type="spellEnd"/>
    </w:p>
    <w:p w14:paraId="16437068" w14:textId="527A9274" w:rsidR="002D09B2" w:rsidRDefault="003F22C7" w:rsidP="002D09B2">
      <w:pPr>
        <w:pStyle w:val="ListParagraph"/>
        <w:numPr>
          <w:ilvl w:val="0"/>
          <w:numId w:val="7"/>
        </w:numPr>
      </w:pPr>
      <w:r>
        <w:t>OldBaselineQuestionnaireMetad</w:t>
      </w:r>
      <w:r w:rsidR="002D09B2">
        <w:t>ata</w:t>
      </w:r>
      <w:r w:rsidR="00A21783">
        <w:t>.xlsx</w:t>
      </w:r>
    </w:p>
    <w:p w14:paraId="2BBACAA1" w14:textId="0A431B59" w:rsidR="003F22C7" w:rsidRDefault="003F22C7" w:rsidP="003F22C7">
      <w:pPr>
        <w:pStyle w:val="ListParagraph"/>
        <w:numPr>
          <w:ilvl w:val="0"/>
          <w:numId w:val="7"/>
        </w:numPr>
      </w:pPr>
      <w:r>
        <w:t>NewBaselineQuestionnaireMetadata.xlsx</w:t>
      </w:r>
    </w:p>
    <w:p w14:paraId="6491D52A" w14:textId="692847F6" w:rsidR="003F22C7" w:rsidRDefault="003F22C7" w:rsidP="003F22C7">
      <w:pPr>
        <w:pStyle w:val="ListParagraph"/>
        <w:numPr>
          <w:ilvl w:val="0"/>
          <w:numId w:val="7"/>
        </w:numPr>
      </w:pPr>
      <w:r>
        <w:t>EndlineQuestionnaireMetadata.xlsx</w:t>
      </w:r>
    </w:p>
    <w:p w14:paraId="30F46B07" w14:textId="14F75FCA" w:rsidR="003F22C7" w:rsidRDefault="003F22C7" w:rsidP="003F22C7">
      <w:pPr>
        <w:pStyle w:val="ListParagraph"/>
        <w:numPr>
          <w:ilvl w:val="0"/>
          <w:numId w:val="7"/>
        </w:numPr>
      </w:pPr>
      <w:r>
        <w:t>AnthropometryMetadata.xlsx</w:t>
      </w:r>
    </w:p>
    <w:p w14:paraId="5DD2F7A0" w14:textId="77777777" w:rsidR="00A21783" w:rsidRPr="001800BD" w:rsidRDefault="00A21783" w:rsidP="00A21783"/>
    <w:p w14:paraId="74E33B31" w14:textId="0D7D52D6" w:rsidR="009720DC" w:rsidRDefault="009720DC">
      <w:pPr>
        <w:rPr>
          <w:i/>
          <w:iCs/>
        </w:rPr>
      </w:pPr>
      <w:r w:rsidRPr="009720DC">
        <w:rPr>
          <w:i/>
          <w:iCs/>
        </w:rPr>
        <w:t>Using the data:</w:t>
      </w:r>
    </w:p>
    <w:p w14:paraId="33E535B9" w14:textId="77777777" w:rsidR="0019099F" w:rsidRDefault="0057777C" w:rsidP="00B63CF0">
      <w:r w:rsidRPr="0057777C">
        <w:rPr>
          <w:u w:val="single"/>
        </w:rPr>
        <w:t>Unique ID:</w:t>
      </w:r>
      <w:r w:rsidR="001E7149">
        <w:t xml:space="preserve"> </w:t>
      </w:r>
    </w:p>
    <w:p w14:paraId="473F0B45" w14:textId="6DD030F1" w:rsidR="00B63CF0" w:rsidRPr="001E7149" w:rsidRDefault="001E7149" w:rsidP="00B63CF0">
      <w:r>
        <w:t>The original study IDs have been removed from these datasets, to ensure the open archive data are fully anonymous</w:t>
      </w:r>
      <w:r w:rsidR="000804A4">
        <w:t>, along with any information about individual names, address</w:t>
      </w:r>
      <w:r w:rsidR="000A210E">
        <w:t>,</w:t>
      </w:r>
      <w:r w:rsidR="000804A4">
        <w:t xml:space="preserve"> contact</w:t>
      </w:r>
      <w:r w:rsidR="00B63CF0">
        <w:t xml:space="preserve"> and GPS</w:t>
      </w:r>
      <w:r>
        <w:t xml:space="preserve">. </w:t>
      </w:r>
      <w:r w:rsidR="00B63CF0">
        <w:t xml:space="preserve">Village name </w:t>
      </w:r>
      <w:r w:rsidR="000C19FB">
        <w:t>has been</w:t>
      </w:r>
      <w:r w:rsidR="00B63CF0">
        <w:t xml:space="preserve"> replaced with a </w:t>
      </w:r>
      <w:r w:rsidR="000D3EF2">
        <w:t xml:space="preserve">sequential </w:t>
      </w:r>
      <w:r w:rsidR="00B63CF0">
        <w:t>code</w:t>
      </w:r>
      <w:r w:rsidR="009F44D6">
        <w:t xml:space="preserve"> </w:t>
      </w:r>
      <w:r w:rsidR="009900A2">
        <w:t>(‘</w:t>
      </w:r>
      <w:proofErr w:type="spellStart"/>
      <w:r w:rsidR="009900A2">
        <w:t>res_village_anon</w:t>
      </w:r>
      <w:proofErr w:type="spellEnd"/>
      <w:r w:rsidR="009900A2">
        <w:t xml:space="preserve">’) </w:t>
      </w:r>
      <w:r w:rsidR="009F44D6">
        <w:t xml:space="preserve">and a new individual ID number </w:t>
      </w:r>
      <w:r w:rsidR="009900A2">
        <w:t>(‘</w:t>
      </w:r>
      <w:proofErr w:type="spellStart"/>
      <w:r w:rsidR="009900A2">
        <w:t>res_id_anon</w:t>
      </w:r>
      <w:proofErr w:type="spellEnd"/>
      <w:r w:rsidR="009900A2">
        <w:t xml:space="preserve">’) </w:t>
      </w:r>
      <w:r w:rsidR="009F44D6">
        <w:t>was generated using a random number calculator within Stata</w:t>
      </w:r>
      <w:r w:rsidR="008D4FB7">
        <w:t xml:space="preserve">, creating a unique </w:t>
      </w:r>
      <w:r w:rsidR="00D02337">
        <w:t>6-digit</w:t>
      </w:r>
      <w:r w:rsidR="008D4FB7">
        <w:t xml:space="preserve"> code that cannot be linked to the individuals cluster, village, or household. </w:t>
      </w:r>
    </w:p>
    <w:p w14:paraId="631A78E1" w14:textId="098232B8" w:rsidR="0057777C" w:rsidRDefault="00183840">
      <w:r>
        <w:t xml:space="preserve">Personal information that is still included for </w:t>
      </w:r>
      <w:proofErr w:type="gramStart"/>
      <w:r>
        <w:t>each individual</w:t>
      </w:r>
      <w:proofErr w:type="gramEnd"/>
      <w:r>
        <w:t xml:space="preserve"> includes:</w:t>
      </w:r>
      <w:r w:rsidR="00FB6292">
        <w:t xml:space="preserve"> cluster name, age in years, self-reported gender and self-reported clinical data. We deemed th</w:t>
      </w:r>
      <w:r w:rsidR="00E51780">
        <w:t xml:space="preserve">ese data points insufficient to identify an individual. </w:t>
      </w:r>
    </w:p>
    <w:p w14:paraId="5D94865A" w14:textId="6DE658A5" w:rsidR="0057777C" w:rsidRDefault="00787CD6">
      <w:pPr>
        <w:rPr>
          <w:u w:val="single"/>
        </w:rPr>
      </w:pPr>
      <w:r>
        <w:rPr>
          <w:u w:val="single"/>
        </w:rPr>
        <w:t>W</w:t>
      </w:r>
      <w:r w:rsidR="0057777C" w:rsidRPr="0057777C">
        <w:rPr>
          <w:u w:val="single"/>
        </w:rPr>
        <w:t>eights:</w:t>
      </w:r>
    </w:p>
    <w:p w14:paraId="531120EA" w14:textId="27579312" w:rsidR="00B26E49" w:rsidRPr="00B26E49" w:rsidRDefault="00B26E49">
      <w:r>
        <w:lastRenderedPageBreak/>
        <w:t xml:space="preserve">Due to the sampling approach, </w:t>
      </w:r>
      <w:r w:rsidR="00882AC6">
        <w:t>for analyses that want to</w:t>
      </w:r>
      <w:r w:rsidR="009A62B7">
        <w:t xml:space="preserve"> present population estimates</w:t>
      </w:r>
      <w:r w:rsidR="0047245B">
        <w:t>, rather than sample estimates</w:t>
      </w:r>
      <w:r w:rsidR="00882AC6">
        <w:t xml:space="preserve">, </w:t>
      </w:r>
      <w:r w:rsidR="00CB39CE">
        <w:t>weights should be used. The weights differ for each survey</w:t>
      </w:r>
      <w:r w:rsidR="0047245B">
        <w:t xml:space="preserve">, given the sample size </w:t>
      </w:r>
      <w:proofErr w:type="gramStart"/>
      <w:r w:rsidR="0047245B">
        <w:t>changed</w:t>
      </w:r>
      <w:proofErr w:type="gramEnd"/>
      <w:r w:rsidR="0047245B">
        <w:t xml:space="preserve"> and the eligible population changed</w:t>
      </w:r>
      <w:r w:rsidR="00434132">
        <w:t xml:space="preserve">. The weights should only be used for analyses which use the randomly sampled population – </w:t>
      </w:r>
      <w:r w:rsidR="00E1268D">
        <w:t xml:space="preserve">analyses of </w:t>
      </w:r>
      <w:r w:rsidR="00434132">
        <w:t xml:space="preserve">the </w:t>
      </w:r>
      <w:r w:rsidR="00E1268D">
        <w:t>purposefully sampled cohort</w:t>
      </w:r>
      <w:r w:rsidR="00B12F28">
        <w:t xml:space="preserve"> of indi</w:t>
      </w:r>
      <w:r w:rsidR="00702C7E">
        <w:t>v</w:t>
      </w:r>
      <w:r w:rsidR="00B12F28">
        <w:t>iduals identified with intermediate hyperglycaemia</w:t>
      </w:r>
      <w:r w:rsidR="00E1268D">
        <w:t xml:space="preserve"> should not. </w:t>
      </w:r>
      <w:r w:rsidR="005153D1">
        <w:t>Two types of weights are provided: a) sample weights</w:t>
      </w:r>
      <w:r w:rsidR="005316B4">
        <w:t xml:space="preserve"> (‘</w:t>
      </w:r>
      <w:proofErr w:type="spellStart"/>
      <w:r w:rsidR="005316B4">
        <w:t>sample_wt</w:t>
      </w:r>
      <w:proofErr w:type="spellEnd"/>
      <w:r w:rsidR="005316B4">
        <w:t>’)</w:t>
      </w:r>
      <w:r w:rsidR="005A6190">
        <w:t xml:space="preserve">, i.e. the </w:t>
      </w:r>
      <w:r w:rsidR="0041504B">
        <w:t>inverse</w:t>
      </w:r>
      <w:r w:rsidR="005A6190">
        <w:t xml:space="preserve"> probability of an individual </w:t>
      </w:r>
      <w:r w:rsidR="0041504B">
        <w:t>being sampled from that cluster</w:t>
      </w:r>
      <w:r w:rsidR="005153D1">
        <w:t>; b) standardized weights</w:t>
      </w:r>
      <w:r w:rsidR="0078485A">
        <w:t xml:space="preserve"> (‘</w:t>
      </w:r>
      <w:proofErr w:type="spellStart"/>
      <w:r w:rsidR="0078485A">
        <w:t>standard_wt</w:t>
      </w:r>
      <w:proofErr w:type="spellEnd"/>
      <w:r w:rsidR="0078485A">
        <w:t xml:space="preserve">’), i.e. </w:t>
      </w:r>
      <w:r w:rsidR="001C791A">
        <w:t>the population adjusted weight</w:t>
      </w:r>
      <w:r w:rsidR="005153D1">
        <w:t xml:space="preserve">. </w:t>
      </w:r>
    </w:p>
    <w:p w14:paraId="3891389D" w14:textId="311A1490" w:rsidR="00552708" w:rsidRDefault="00552708">
      <w:pPr>
        <w:rPr>
          <w:u w:val="single"/>
        </w:rPr>
      </w:pPr>
      <w:r>
        <w:rPr>
          <w:u w:val="single"/>
        </w:rPr>
        <w:t>Sample:</w:t>
      </w:r>
    </w:p>
    <w:p w14:paraId="7961CBC5" w14:textId="17F49202" w:rsidR="00B172A4" w:rsidRPr="008B66A2" w:rsidRDefault="00F64F20" w:rsidP="00B172A4">
      <w:r>
        <w:t>There are two variables in each dataset which identify whether the individual was sampled through the simple random sampling approach</w:t>
      </w:r>
      <w:r w:rsidR="00B172A4">
        <w:t xml:space="preserve"> (‘</w:t>
      </w:r>
      <w:proofErr w:type="spellStart"/>
      <w:r w:rsidR="00B172A4">
        <w:t>ran</w:t>
      </w:r>
      <w:r w:rsidR="00F2528B">
        <w:t>_sample</w:t>
      </w:r>
      <w:proofErr w:type="spellEnd"/>
      <w:r w:rsidR="00B172A4">
        <w:t>’)</w:t>
      </w:r>
      <w:r>
        <w:t>, or purposeful sampling</w:t>
      </w:r>
      <w:r w:rsidR="00B172A4">
        <w:t xml:space="preserve"> for </w:t>
      </w:r>
      <w:r w:rsidR="0033045D">
        <w:t>those with intermediate hyperglycaemia</w:t>
      </w:r>
      <w:r w:rsidR="00B172A4">
        <w:t xml:space="preserve"> (</w:t>
      </w:r>
      <w:r w:rsidR="004D6393">
        <w:t>‘</w:t>
      </w:r>
      <w:proofErr w:type="spellStart"/>
      <w:r w:rsidR="00B172A4">
        <w:t>res_pred</w:t>
      </w:r>
      <w:proofErr w:type="spellEnd"/>
      <w:r w:rsidR="004D6393">
        <w:t>’</w:t>
      </w:r>
      <w:r w:rsidR="00B172A4">
        <w:t>).</w:t>
      </w:r>
      <w:r w:rsidR="004D6393">
        <w:t xml:space="preserve"> A value of 1 indicates that the participant was selected using this method</w:t>
      </w:r>
      <w:r w:rsidR="006B69BD">
        <w:t>. All individuals will have at least one of these selected, and some individuals will have both selected.</w:t>
      </w:r>
      <w:r w:rsidR="004D6393">
        <w:t xml:space="preserve"> </w:t>
      </w:r>
      <w:r w:rsidR="00B172A4">
        <w:t xml:space="preserve">  </w:t>
      </w:r>
    </w:p>
    <w:p w14:paraId="3BEE9DE1" w14:textId="1EEF7E56" w:rsidR="0057777C" w:rsidRDefault="0057777C">
      <w:pPr>
        <w:rPr>
          <w:u w:val="single"/>
        </w:rPr>
      </w:pPr>
      <w:r w:rsidRPr="0057777C">
        <w:rPr>
          <w:u w:val="single"/>
        </w:rPr>
        <w:t>Linking surveys:</w:t>
      </w:r>
    </w:p>
    <w:p w14:paraId="34A0EB53" w14:textId="13028545" w:rsidR="00DE3D9F" w:rsidRPr="00DE3D9F" w:rsidRDefault="00DE3D9F">
      <w:r>
        <w:t>The three cross-sectional surveys can be merged</w:t>
      </w:r>
      <w:r w:rsidR="00D66A65">
        <w:t>, to create a longitudinal analysis dataset. As some individuals were sampled more than once (either purposefully</w:t>
      </w:r>
      <w:r w:rsidR="009C23EE">
        <w:t xml:space="preserve"> for </w:t>
      </w:r>
      <w:r w:rsidR="00DD34E1">
        <w:t>intermediate hyperglycaemia</w:t>
      </w:r>
      <w:r w:rsidR="009C23EE">
        <w:t xml:space="preserve">, or randomly by chance), the unique anonymised individual ID </w:t>
      </w:r>
      <w:r w:rsidR="00473B42">
        <w:t xml:space="preserve">should be used, with a 1:1 matching. </w:t>
      </w:r>
      <w:r w:rsidR="00A83E7E">
        <w:t xml:space="preserve">Note when merging </w:t>
      </w:r>
      <w:r w:rsidR="00A0051D">
        <w:t>datasets, instead of appending them, that values within the same variables are expected to differ</w:t>
      </w:r>
      <w:r w:rsidR="0055266C">
        <w:t>, and so renaming variables with a suffix to indicate which survey they come from is recommended (e.g. renaming the first baseline survey variables to be “</w:t>
      </w:r>
      <w:proofErr w:type="spellStart"/>
      <w:r w:rsidR="0055266C">
        <w:t>old_X</w:t>
      </w:r>
      <w:proofErr w:type="spellEnd"/>
      <w:r w:rsidR="0055266C">
        <w:t xml:space="preserve">”). </w:t>
      </w:r>
    </w:p>
    <w:p w14:paraId="21BB2F20" w14:textId="77777777" w:rsidR="00426146" w:rsidRDefault="00F266D2">
      <w:r>
        <w:rPr>
          <w:u w:val="single"/>
        </w:rPr>
        <w:t>Acknowledgement:</w:t>
      </w:r>
      <w:r w:rsidRPr="00F266D2">
        <w:t xml:space="preserve"> </w:t>
      </w:r>
    </w:p>
    <w:p w14:paraId="08E0BF98" w14:textId="69D1AB67" w:rsidR="00426146" w:rsidRPr="009E61D8" w:rsidRDefault="00426146" w:rsidP="00426146">
      <w:pPr>
        <w:spacing w:line="23" w:lineRule="atLeast"/>
      </w:pPr>
      <w:r>
        <w:t xml:space="preserve">The </w:t>
      </w:r>
      <w:proofErr w:type="spellStart"/>
      <w:r>
        <w:t>DClare</w:t>
      </w:r>
      <w:proofErr w:type="spellEnd"/>
      <w:r>
        <w:t xml:space="preserve"> trial</w:t>
      </w:r>
      <w:r w:rsidRPr="009E61D8">
        <w:t xml:space="preserve"> was funded by the Medical Research Council UK (MR/T023562/1) under the Global Alliance for Chronic Diseases Scale-Up Programme.</w:t>
      </w:r>
    </w:p>
    <w:p w14:paraId="3AA1E016" w14:textId="060ACCC9" w:rsidR="007410BE" w:rsidRDefault="00426146">
      <w:r>
        <w:t xml:space="preserve">The </w:t>
      </w:r>
      <w:proofErr w:type="spellStart"/>
      <w:r>
        <w:t>DClare</w:t>
      </w:r>
      <w:proofErr w:type="spellEnd"/>
      <w:r>
        <w:t xml:space="preserve"> trial team consisted of: </w:t>
      </w:r>
      <w:r w:rsidR="001544FF" w:rsidRPr="00EA0A53">
        <w:t>Edward Fottrell</w:t>
      </w:r>
      <w:r w:rsidR="001544FF">
        <w:t xml:space="preserve">, </w:t>
      </w:r>
      <w:r w:rsidR="001544FF" w:rsidRPr="00EA0A53">
        <w:t>Abdul Kuddus</w:t>
      </w:r>
      <w:r w:rsidR="001544FF">
        <w:t xml:space="preserve"> MPH, </w:t>
      </w:r>
      <w:r w:rsidR="001544FF" w:rsidRPr="00EA0A53">
        <w:t>Joanna Morrison</w:t>
      </w:r>
      <w:r w:rsidR="001544FF">
        <w:t xml:space="preserve">, </w:t>
      </w:r>
      <w:r w:rsidR="001544FF" w:rsidRPr="00EA0A53">
        <w:t>Tasmin Nahar</w:t>
      </w:r>
      <w:r w:rsidR="001544FF">
        <w:t xml:space="preserve">, Carina King, </w:t>
      </w:r>
      <w:r w:rsidR="001544FF" w:rsidRPr="00EA0A53">
        <w:t>Sanjit Kum</w:t>
      </w:r>
      <w:r w:rsidR="001544FF">
        <w:t>e</w:t>
      </w:r>
      <w:r w:rsidR="001544FF" w:rsidRPr="00EA0A53">
        <w:t>r Shaha</w:t>
      </w:r>
      <w:r w:rsidR="001544FF">
        <w:t xml:space="preserve">, Malini Pires, Sarker Ashraf Uddin Ahmed, James Beard, </w:t>
      </w:r>
      <w:r w:rsidR="001544FF" w:rsidRPr="00EA0A53">
        <w:t>Naveed Ahmed</w:t>
      </w:r>
      <w:r w:rsidR="001544FF">
        <w:t xml:space="preserve">, Andrew Copas, </w:t>
      </w:r>
      <w:r w:rsidR="001544FF" w:rsidRPr="00EA0A53">
        <w:t>Hassan Haghparast-Bidgoli</w:t>
      </w:r>
      <w:r w:rsidR="001544FF">
        <w:t xml:space="preserve">, </w:t>
      </w:r>
      <w:r w:rsidR="001544FF" w:rsidRPr="00EA0A53">
        <w:t>A.K. Azad Khan</w:t>
      </w:r>
      <w:r w:rsidR="001544FF">
        <w:t xml:space="preserve">, </w:t>
      </w:r>
      <w:r>
        <w:t xml:space="preserve">and </w:t>
      </w:r>
      <w:r w:rsidR="001544FF" w:rsidRPr="00EA0A53">
        <w:t>Kishwar Azad</w:t>
      </w:r>
    </w:p>
    <w:p w14:paraId="6D2E2CC0" w14:textId="12C12FB5" w:rsidR="007B3EFD" w:rsidRDefault="007B3EFD">
      <w:r>
        <w:t xml:space="preserve">We are grateful to </w:t>
      </w:r>
      <w:r w:rsidR="00AE2A25" w:rsidRPr="00AE2A25">
        <w:t>Md Golam Azam</w:t>
      </w:r>
      <w:r w:rsidR="00AE2A25">
        <w:t xml:space="preserve"> and </w:t>
      </w:r>
      <w:r w:rsidR="003C4257">
        <w:t>all data collectors and supervisors for their contributions to the surveys that generated these data.</w:t>
      </w:r>
    </w:p>
    <w:p w14:paraId="53C311B5" w14:textId="596FEE65" w:rsidR="00F266D2" w:rsidRPr="00861E93" w:rsidRDefault="00F266D2">
      <w:pPr>
        <w:rPr>
          <w:rFonts w:cstheme="minorHAnsi"/>
          <w:i/>
          <w:iCs/>
        </w:rPr>
      </w:pPr>
      <w:r>
        <w:t xml:space="preserve">Any publications which use these data should include the following acknowledgement statement: </w:t>
      </w:r>
      <w:r w:rsidRPr="00F266D2">
        <w:rPr>
          <w:i/>
          <w:iCs/>
        </w:rPr>
        <w:t>“</w:t>
      </w:r>
      <w:r w:rsidR="00183574">
        <w:rPr>
          <w:i/>
          <w:iCs/>
        </w:rPr>
        <w:t>D</w:t>
      </w:r>
      <w:r w:rsidR="00462802">
        <w:rPr>
          <w:i/>
          <w:iCs/>
        </w:rPr>
        <w:t>ata used in this study were</w:t>
      </w:r>
      <w:r w:rsidR="00183574">
        <w:rPr>
          <w:i/>
          <w:iCs/>
        </w:rPr>
        <w:t xml:space="preserve"> </w:t>
      </w:r>
      <w:r w:rsidR="00C443B5">
        <w:rPr>
          <w:i/>
          <w:iCs/>
        </w:rPr>
        <w:t xml:space="preserve">made available as </w:t>
      </w:r>
      <w:r w:rsidR="00183574">
        <w:rPr>
          <w:i/>
          <w:iCs/>
        </w:rPr>
        <w:t>part of the</w:t>
      </w:r>
      <w:r w:rsidR="00C96300" w:rsidRPr="00C96300">
        <w:rPr>
          <w:i/>
          <w:iCs/>
        </w:rPr>
        <w:t xml:space="preserve"> </w:t>
      </w:r>
      <w:r w:rsidR="00C96300" w:rsidRPr="00C96300">
        <w:rPr>
          <w:rFonts w:cstheme="minorHAnsi"/>
          <w:i/>
          <w:iCs/>
        </w:rPr>
        <w:t xml:space="preserve">Bangladesh </w:t>
      </w:r>
      <w:proofErr w:type="spellStart"/>
      <w:r w:rsidR="00C96300" w:rsidRPr="00C96300">
        <w:rPr>
          <w:rFonts w:cstheme="minorHAnsi"/>
          <w:i/>
          <w:iCs/>
        </w:rPr>
        <w:t>DClare</w:t>
      </w:r>
      <w:proofErr w:type="spellEnd"/>
      <w:r w:rsidR="00C96300" w:rsidRPr="00C96300">
        <w:rPr>
          <w:rFonts w:cstheme="minorHAnsi"/>
          <w:i/>
          <w:iCs/>
        </w:rPr>
        <w:t xml:space="preserve"> project</w:t>
      </w:r>
      <w:r w:rsidR="00861E93">
        <w:rPr>
          <w:rFonts w:cstheme="minorHAnsi"/>
          <w:i/>
          <w:iCs/>
        </w:rPr>
        <w:t xml:space="preserve"> – </w:t>
      </w:r>
      <w:r w:rsidR="00C96300" w:rsidRPr="00C96300">
        <w:rPr>
          <w:rFonts w:cstheme="minorHAnsi"/>
          <w:i/>
          <w:iCs/>
        </w:rPr>
        <w:t xml:space="preserve">a collaboration between University College London Institute for Global Health, the Diabetic Association of Bangladesh </w:t>
      </w:r>
      <w:r w:rsidR="00471540">
        <w:rPr>
          <w:rFonts w:cstheme="minorHAnsi"/>
          <w:i/>
          <w:iCs/>
        </w:rPr>
        <w:t xml:space="preserve">Centre for Health Research and Implementation, </w:t>
      </w:r>
      <w:r w:rsidR="00C96300" w:rsidRPr="00C96300">
        <w:rPr>
          <w:rFonts w:cstheme="minorHAnsi"/>
          <w:i/>
          <w:iCs/>
        </w:rPr>
        <w:t xml:space="preserve">and Karolinska </w:t>
      </w:r>
      <w:proofErr w:type="spellStart"/>
      <w:r w:rsidR="00C96300" w:rsidRPr="00C96300">
        <w:rPr>
          <w:rFonts w:cstheme="minorHAnsi"/>
          <w:i/>
          <w:iCs/>
        </w:rPr>
        <w:t>I</w:t>
      </w:r>
      <w:r w:rsidR="00C96300" w:rsidRPr="00EE57AB">
        <w:rPr>
          <w:rFonts w:cstheme="minorHAnsi"/>
          <w:i/>
          <w:iCs/>
        </w:rPr>
        <w:t>nstitutet’s</w:t>
      </w:r>
      <w:proofErr w:type="spellEnd"/>
      <w:r w:rsidR="00C96300" w:rsidRPr="00EE57AB">
        <w:rPr>
          <w:rFonts w:cstheme="minorHAnsi"/>
          <w:i/>
          <w:iCs/>
        </w:rPr>
        <w:t xml:space="preserve"> Department of Global Public Health</w:t>
      </w:r>
      <w:r w:rsidR="00EE57AB" w:rsidRPr="00EE57AB">
        <w:rPr>
          <w:rFonts w:cstheme="minorHAnsi"/>
          <w:i/>
          <w:iCs/>
        </w:rPr>
        <w:t xml:space="preserve">, </w:t>
      </w:r>
      <w:r w:rsidR="00EE57AB" w:rsidRPr="00EE57AB">
        <w:rPr>
          <w:i/>
          <w:iCs/>
        </w:rPr>
        <w:t>funded by the Medical Research Council UK (MR/T023562/1) under the Global Alliance for Chronic Diseases Scale-Up Programme</w:t>
      </w:r>
      <w:r w:rsidRPr="00F266D2">
        <w:rPr>
          <w:i/>
          <w:iCs/>
        </w:rPr>
        <w:t>”</w:t>
      </w:r>
      <w:r w:rsidR="00306CBC">
        <w:rPr>
          <w:i/>
          <w:iCs/>
        </w:rPr>
        <w:t>.</w:t>
      </w:r>
    </w:p>
    <w:p w14:paraId="2E618583" w14:textId="586ED464" w:rsidR="005173C1" w:rsidRPr="00A2234F" w:rsidRDefault="00662FC5" w:rsidP="00662FC5">
      <w:r>
        <w:rPr>
          <w:noProof/>
        </w:rPr>
        <w:lastRenderedPageBreak/>
        <mc:AlternateContent>
          <mc:Choice Requires="wps">
            <w:drawing>
              <wp:inline distT="0" distB="0" distL="0" distR="0" wp14:anchorId="1B15BB14" wp14:editId="03D1A781">
                <wp:extent cx="5638800" cy="1404620"/>
                <wp:effectExtent l="0" t="0" r="19050" b="24765"/>
                <wp:docPr id="1129374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8E50F" w14:textId="1A600836" w:rsidR="00662FC5" w:rsidRDefault="00662FC5" w:rsidP="00662FC5">
                            <w:r>
                              <w:t>For further information about the data which cannot be found within this document or published papers, please contact:</w:t>
                            </w:r>
                          </w:p>
                          <w:p w14:paraId="5AD84677" w14:textId="77777777" w:rsidR="00662FC5" w:rsidRDefault="00662FC5" w:rsidP="00662FC5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Prof Ed Fottrell: </w:t>
                            </w:r>
                            <w:hyperlink r:id="rId16" w:history="1">
                              <w:r w:rsidRPr="00886045">
                                <w:rPr>
                                  <w:rStyle w:val="Hyperlink"/>
                                </w:rPr>
                                <w:t>e.fottrell@ucl.ac.uk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36143127" w14:textId="77777777" w:rsidR="00662FC5" w:rsidRDefault="00662FC5" w:rsidP="00662FC5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Prof Kishwar Azad: </w:t>
                            </w:r>
                            <w:hyperlink r:id="rId17" w:history="1">
                              <w:r w:rsidRPr="00886045">
                                <w:rPr>
                                  <w:rStyle w:val="Hyperlink"/>
                                </w:rPr>
                                <w:t>kishwar.azad@googlemail.com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19669E7C" w14:textId="54070A27" w:rsidR="00662FC5" w:rsidRDefault="00662FC5" w:rsidP="00662FC5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A/Prof Carina King: </w:t>
                            </w:r>
                            <w:hyperlink r:id="rId18" w:history="1">
                              <w:r w:rsidRPr="00886045">
                                <w:rPr>
                                  <w:rStyle w:val="Hyperlink"/>
                                </w:rPr>
                                <w:t>carina.king@ki.se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15BB14" id="_x0000_s1027" type="#_x0000_t202" style="width:44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" fillcolor="#f2f2f2 [3052]">
                <v:textbox style="mso-fit-shape-to-text:t">
                  <w:txbxContent>
                    <w:p w14:paraId="4BD8E50F" w14:textId="1A600836" w:rsidR="00662FC5" w:rsidRDefault="00662FC5" w:rsidP="00662FC5">
                      <w:r>
                        <w:t>For further information about the data which cannot be found within this document or published papers, please contact:</w:t>
                      </w:r>
                    </w:p>
                    <w:p w14:paraId="5AD84677" w14:textId="77777777" w:rsidR="00662FC5" w:rsidRDefault="00662FC5" w:rsidP="00662FC5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Prof Ed Fottrell: </w:t>
                      </w:r>
                      <w:hyperlink r:id="rId19" w:history="1">
                        <w:r w:rsidRPr="00886045">
                          <w:rPr>
                            <w:rStyle w:val="Hyperlink"/>
                          </w:rPr>
                          <w:t>e.fottrell@ucl.ac.uk</w:t>
                        </w:r>
                      </w:hyperlink>
                      <w:r>
                        <w:t xml:space="preserve"> </w:t>
                      </w:r>
                    </w:p>
                    <w:p w14:paraId="36143127" w14:textId="77777777" w:rsidR="00662FC5" w:rsidRDefault="00662FC5" w:rsidP="00662FC5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Prof Kishwar Azad: </w:t>
                      </w:r>
                      <w:hyperlink r:id="rId20" w:history="1">
                        <w:r w:rsidRPr="00886045">
                          <w:rPr>
                            <w:rStyle w:val="Hyperlink"/>
                          </w:rPr>
                          <w:t>kishwar.azad@googlemail.com</w:t>
                        </w:r>
                      </w:hyperlink>
                      <w:r>
                        <w:t xml:space="preserve"> </w:t>
                      </w:r>
                    </w:p>
                    <w:p w14:paraId="19669E7C" w14:textId="54070A27" w:rsidR="00662FC5" w:rsidRDefault="00662FC5" w:rsidP="00662FC5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 xml:space="preserve">A/Prof Carina King: </w:t>
                      </w:r>
                      <w:hyperlink r:id="rId21" w:history="1">
                        <w:r w:rsidRPr="00886045">
                          <w:rPr>
                            <w:rStyle w:val="Hyperlink"/>
                          </w:rPr>
                          <w:t>carina.king@ki.se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173C1" w:rsidRPr="00A2234F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BE92" w14:textId="77777777" w:rsidR="00F140E1" w:rsidRDefault="00F140E1" w:rsidP="007D57A0">
      <w:pPr>
        <w:spacing w:after="0" w:line="240" w:lineRule="auto"/>
      </w:pPr>
      <w:r>
        <w:separator/>
      </w:r>
    </w:p>
  </w:endnote>
  <w:endnote w:type="continuationSeparator" w:id="0">
    <w:p w14:paraId="3D716441" w14:textId="77777777" w:rsidR="00F140E1" w:rsidRDefault="00F140E1" w:rsidP="007D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rriweather Sans">
    <w:charset w:val="00"/>
    <w:family w:val="auto"/>
    <w:pitch w:val="variable"/>
    <w:sig w:usb0="A00004FF" w:usb1="4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796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CE7BE5" w14:textId="5C67B9E0" w:rsidR="007722C4" w:rsidRDefault="007722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DAE553" w14:textId="77777777" w:rsidR="007722C4" w:rsidRDefault="00772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538DE" w14:textId="77777777" w:rsidR="00F140E1" w:rsidRDefault="00F140E1" w:rsidP="007D57A0">
      <w:pPr>
        <w:spacing w:after="0" w:line="240" w:lineRule="auto"/>
      </w:pPr>
      <w:r>
        <w:separator/>
      </w:r>
    </w:p>
  </w:footnote>
  <w:footnote w:type="continuationSeparator" w:id="0">
    <w:p w14:paraId="3F47CE93" w14:textId="77777777" w:rsidR="00F140E1" w:rsidRDefault="00F140E1" w:rsidP="007D5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277EA" w14:textId="373F207F" w:rsidR="007D57A0" w:rsidRDefault="007D57A0">
    <w:pPr>
      <w:pStyle w:val="Header"/>
    </w:pPr>
    <w:proofErr w:type="spellStart"/>
    <w:r>
      <w:t>DClare</w:t>
    </w:r>
    <w:proofErr w:type="spellEnd"/>
    <w:r>
      <w:t xml:space="preserve"> data archiving</w:t>
    </w:r>
  </w:p>
  <w:p w14:paraId="0943C931" w14:textId="59EBC0E9" w:rsidR="007D57A0" w:rsidRDefault="007D57A0">
    <w:pPr>
      <w:pStyle w:val="Header"/>
    </w:pPr>
    <w:r>
      <w:t>Version 1.0, 24/03/2025</w:t>
    </w:r>
  </w:p>
  <w:p w14:paraId="04603313" w14:textId="77777777" w:rsidR="007D57A0" w:rsidRDefault="007D57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A0A"/>
    <w:multiLevelType w:val="hybridMultilevel"/>
    <w:tmpl w:val="33FCA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81A6E"/>
    <w:multiLevelType w:val="multilevel"/>
    <w:tmpl w:val="5E568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D48B0"/>
    <w:multiLevelType w:val="hybridMultilevel"/>
    <w:tmpl w:val="8E640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B2B93"/>
    <w:multiLevelType w:val="hybridMultilevel"/>
    <w:tmpl w:val="DBDE5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70B7D"/>
    <w:multiLevelType w:val="hybridMultilevel"/>
    <w:tmpl w:val="EB769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91132"/>
    <w:multiLevelType w:val="hybridMultilevel"/>
    <w:tmpl w:val="A07ADF4E"/>
    <w:lvl w:ilvl="0" w:tplc="3F8A1B74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76EC6"/>
    <w:multiLevelType w:val="hybridMultilevel"/>
    <w:tmpl w:val="040817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94E13"/>
    <w:multiLevelType w:val="hybridMultilevel"/>
    <w:tmpl w:val="ED4C2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86160"/>
    <w:multiLevelType w:val="hybridMultilevel"/>
    <w:tmpl w:val="B48C0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B3649"/>
    <w:multiLevelType w:val="hybridMultilevel"/>
    <w:tmpl w:val="92FA0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34245">
    <w:abstractNumId w:val="0"/>
  </w:num>
  <w:num w:numId="2" w16cid:durableId="1234698731">
    <w:abstractNumId w:val="6"/>
  </w:num>
  <w:num w:numId="3" w16cid:durableId="461119318">
    <w:abstractNumId w:val="8"/>
  </w:num>
  <w:num w:numId="4" w16cid:durableId="976029664">
    <w:abstractNumId w:val="7"/>
  </w:num>
  <w:num w:numId="5" w16cid:durableId="1470437494">
    <w:abstractNumId w:val="3"/>
  </w:num>
  <w:num w:numId="6" w16cid:durableId="673991892">
    <w:abstractNumId w:val="5"/>
  </w:num>
  <w:num w:numId="7" w16cid:durableId="1104417473">
    <w:abstractNumId w:val="4"/>
  </w:num>
  <w:num w:numId="8" w16cid:durableId="919296675">
    <w:abstractNumId w:val="9"/>
  </w:num>
  <w:num w:numId="9" w16cid:durableId="1613588770">
    <w:abstractNumId w:val="2"/>
  </w:num>
  <w:num w:numId="10" w16cid:durableId="920868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DC"/>
    <w:rsid w:val="00006264"/>
    <w:rsid w:val="00044623"/>
    <w:rsid w:val="000540A2"/>
    <w:rsid w:val="000804A4"/>
    <w:rsid w:val="000A1F22"/>
    <w:rsid w:val="000A210E"/>
    <w:rsid w:val="000C19FB"/>
    <w:rsid w:val="000D065F"/>
    <w:rsid w:val="000D3EF2"/>
    <w:rsid w:val="000E53D0"/>
    <w:rsid w:val="000F1ECE"/>
    <w:rsid w:val="00142AA1"/>
    <w:rsid w:val="001544FF"/>
    <w:rsid w:val="00155453"/>
    <w:rsid w:val="001572AB"/>
    <w:rsid w:val="00167AFB"/>
    <w:rsid w:val="0017015A"/>
    <w:rsid w:val="001800BD"/>
    <w:rsid w:val="00182EBD"/>
    <w:rsid w:val="00183574"/>
    <w:rsid w:val="00183840"/>
    <w:rsid w:val="0019099F"/>
    <w:rsid w:val="001B3A31"/>
    <w:rsid w:val="001C791A"/>
    <w:rsid w:val="001E4D0F"/>
    <w:rsid w:val="001E7149"/>
    <w:rsid w:val="002362B6"/>
    <w:rsid w:val="00251471"/>
    <w:rsid w:val="0029485F"/>
    <w:rsid w:val="002D09B2"/>
    <w:rsid w:val="00306CBC"/>
    <w:rsid w:val="00321C74"/>
    <w:rsid w:val="0033045D"/>
    <w:rsid w:val="00344C9E"/>
    <w:rsid w:val="00383ACF"/>
    <w:rsid w:val="003842AA"/>
    <w:rsid w:val="0039289C"/>
    <w:rsid w:val="003C4257"/>
    <w:rsid w:val="003D007F"/>
    <w:rsid w:val="003E5317"/>
    <w:rsid w:val="003F15F3"/>
    <w:rsid w:val="003F22C7"/>
    <w:rsid w:val="0040117C"/>
    <w:rsid w:val="00414D25"/>
    <w:rsid w:val="0041504B"/>
    <w:rsid w:val="00426146"/>
    <w:rsid w:val="00432F60"/>
    <w:rsid w:val="00434132"/>
    <w:rsid w:val="0044158F"/>
    <w:rsid w:val="00462802"/>
    <w:rsid w:val="00471540"/>
    <w:rsid w:val="0047245B"/>
    <w:rsid w:val="00473B42"/>
    <w:rsid w:val="004A7762"/>
    <w:rsid w:val="004D6393"/>
    <w:rsid w:val="00501EF9"/>
    <w:rsid w:val="00502B0E"/>
    <w:rsid w:val="005153D1"/>
    <w:rsid w:val="005173C1"/>
    <w:rsid w:val="00523C16"/>
    <w:rsid w:val="005316B4"/>
    <w:rsid w:val="005326C2"/>
    <w:rsid w:val="00536000"/>
    <w:rsid w:val="0054160B"/>
    <w:rsid w:val="0055049B"/>
    <w:rsid w:val="0055266C"/>
    <w:rsid w:val="00552708"/>
    <w:rsid w:val="00567614"/>
    <w:rsid w:val="0057468B"/>
    <w:rsid w:val="0057777C"/>
    <w:rsid w:val="00581B78"/>
    <w:rsid w:val="005A561E"/>
    <w:rsid w:val="005A6190"/>
    <w:rsid w:val="005B3E9F"/>
    <w:rsid w:val="005C3720"/>
    <w:rsid w:val="005D13A8"/>
    <w:rsid w:val="005F417C"/>
    <w:rsid w:val="0060143B"/>
    <w:rsid w:val="00650C91"/>
    <w:rsid w:val="00662FC5"/>
    <w:rsid w:val="00663048"/>
    <w:rsid w:val="006939A3"/>
    <w:rsid w:val="006A67C5"/>
    <w:rsid w:val="006B2438"/>
    <w:rsid w:val="006B69BD"/>
    <w:rsid w:val="006D7A98"/>
    <w:rsid w:val="006E479A"/>
    <w:rsid w:val="006F6E11"/>
    <w:rsid w:val="00702C7E"/>
    <w:rsid w:val="0072196C"/>
    <w:rsid w:val="007410BE"/>
    <w:rsid w:val="0074780C"/>
    <w:rsid w:val="00750F6D"/>
    <w:rsid w:val="00772096"/>
    <w:rsid w:val="007722C4"/>
    <w:rsid w:val="0078485A"/>
    <w:rsid w:val="00787CD6"/>
    <w:rsid w:val="007960FD"/>
    <w:rsid w:val="00796362"/>
    <w:rsid w:val="007A0DF5"/>
    <w:rsid w:val="007B3EFD"/>
    <w:rsid w:val="007D47BE"/>
    <w:rsid w:val="007D57A0"/>
    <w:rsid w:val="007E0243"/>
    <w:rsid w:val="007E7FE2"/>
    <w:rsid w:val="0080049D"/>
    <w:rsid w:val="008573C3"/>
    <w:rsid w:val="00861E93"/>
    <w:rsid w:val="00882AC6"/>
    <w:rsid w:val="008863D9"/>
    <w:rsid w:val="00890679"/>
    <w:rsid w:val="00897C6E"/>
    <w:rsid w:val="00897D4A"/>
    <w:rsid w:val="008B66A2"/>
    <w:rsid w:val="008D4FB7"/>
    <w:rsid w:val="00900AFE"/>
    <w:rsid w:val="00927437"/>
    <w:rsid w:val="009720DC"/>
    <w:rsid w:val="009735EA"/>
    <w:rsid w:val="009900A2"/>
    <w:rsid w:val="009A62B7"/>
    <w:rsid w:val="009C23EE"/>
    <w:rsid w:val="009E4610"/>
    <w:rsid w:val="009F44D6"/>
    <w:rsid w:val="00A0051D"/>
    <w:rsid w:val="00A2005C"/>
    <w:rsid w:val="00A21783"/>
    <w:rsid w:val="00A2234F"/>
    <w:rsid w:val="00A3051A"/>
    <w:rsid w:val="00A4410B"/>
    <w:rsid w:val="00A46DB4"/>
    <w:rsid w:val="00A504D1"/>
    <w:rsid w:val="00A670F5"/>
    <w:rsid w:val="00A745C9"/>
    <w:rsid w:val="00A83E7E"/>
    <w:rsid w:val="00A90D6F"/>
    <w:rsid w:val="00A94550"/>
    <w:rsid w:val="00AB305B"/>
    <w:rsid w:val="00AE2A25"/>
    <w:rsid w:val="00AE3E08"/>
    <w:rsid w:val="00AF352A"/>
    <w:rsid w:val="00B12F28"/>
    <w:rsid w:val="00B172A4"/>
    <w:rsid w:val="00B26E49"/>
    <w:rsid w:val="00B547C4"/>
    <w:rsid w:val="00B63CF0"/>
    <w:rsid w:val="00B858FD"/>
    <w:rsid w:val="00BE16FC"/>
    <w:rsid w:val="00C0004C"/>
    <w:rsid w:val="00C04FEC"/>
    <w:rsid w:val="00C443B5"/>
    <w:rsid w:val="00C96300"/>
    <w:rsid w:val="00CA284F"/>
    <w:rsid w:val="00CB39CE"/>
    <w:rsid w:val="00CE2209"/>
    <w:rsid w:val="00CF2609"/>
    <w:rsid w:val="00CF4A87"/>
    <w:rsid w:val="00D02337"/>
    <w:rsid w:val="00D66A65"/>
    <w:rsid w:val="00D77D56"/>
    <w:rsid w:val="00D83478"/>
    <w:rsid w:val="00D918DE"/>
    <w:rsid w:val="00DD34E1"/>
    <w:rsid w:val="00DE3D9F"/>
    <w:rsid w:val="00DE548B"/>
    <w:rsid w:val="00DF15D6"/>
    <w:rsid w:val="00E05A29"/>
    <w:rsid w:val="00E1268D"/>
    <w:rsid w:val="00E16E17"/>
    <w:rsid w:val="00E420FF"/>
    <w:rsid w:val="00E51780"/>
    <w:rsid w:val="00E5519B"/>
    <w:rsid w:val="00E5782E"/>
    <w:rsid w:val="00E771BC"/>
    <w:rsid w:val="00EE57AB"/>
    <w:rsid w:val="00EF1741"/>
    <w:rsid w:val="00F05A0E"/>
    <w:rsid w:val="00F06284"/>
    <w:rsid w:val="00F11DF7"/>
    <w:rsid w:val="00F140E1"/>
    <w:rsid w:val="00F20775"/>
    <w:rsid w:val="00F22242"/>
    <w:rsid w:val="00F2528B"/>
    <w:rsid w:val="00F266D2"/>
    <w:rsid w:val="00F64F20"/>
    <w:rsid w:val="00F708FB"/>
    <w:rsid w:val="00F74085"/>
    <w:rsid w:val="00FA5202"/>
    <w:rsid w:val="00FB6292"/>
    <w:rsid w:val="00FC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A23D"/>
  <w15:chartTrackingRefBased/>
  <w15:docId w15:val="{A324233E-E0E1-49E9-A097-5E9F7003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2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2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2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2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2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2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2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2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2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0D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20D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20DC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20DC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20DC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20DC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20DC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20DC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20DC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972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20D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2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20DC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972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20DC"/>
    <w:rPr>
      <w:i/>
      <w:iCs/>
      <w:color w:val="404040" w:themeColor="text1" w:themeTint="BF"/>
      <w:lang w:val="en-GB"/>
    </w:rPr>
  </w:style>
  <w:style w:type="paragraph" w:styleId="ListParagraph">
    <w:name w:val="List Paragraph"/>
    <w:aliases w:val="References,Bullets"/>
    <w:basedOn w:val="Normal"/>
    <w:link w:val="ListParagraphChar"/>
    <w:uiPriority w:val="34"/>
    <w:qFormat/>
    <w:rsid w:val="009720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20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2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20DC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9720D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7A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7A0"/>
    <w:rPr>
      <w:lang w:val="en-GB"/>
    </w:rPr>
  </w:style>
  <w:style w:type="character" w:customStyle="1" w:styleId="ListParagraphChar">
    <w:name w:val="List Paragraph Char"/>
    <w:aliases w:val="References Char,Bullets Char"/>
    <w:link w:val="ListParagraph"/>
    <w:uiPriority w:val="34"/>
    <w:locked/>
    <w:rsid w:val="00006264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372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720"/>
    <w:rPr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7F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FE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84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4324/RFA.07.1.17" TargetMode="External"/><Relationship Id="rId13" Type="http://schemas.openxmlformats.org/officeDocument/2006/relationships/hyperlink" Target="https://doi.org/10.1186/s13063-021-05167-y" TargetMode="External"/><Relationship Id="rId18" Type="http://schemas.openxmlformats.org/officeDocument/2006/relationships/hyperlink" Target="mailto:carina.king@ki.s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arina.king@ki.se" TargetMode="External"/><Relationship Id="rId7" Type="http://schemas.openxmlformats.org/officeDocument/2006/relationships/hyperlink" Target="https://doi.org/10.1186/s12889-023-15551-9" TargetMode="External"/><Relationship Id="rId12" Type="http://schemas.openxmlformats.org/officeDocument/2006/relationships/hyperlink" Target="https://doi.org/10.1136/bmjopen-2024-089288" TargetMode="External"/><Relationship Id="rId17" Type="http://schemas.openxmlformats.org/officeDocument/2006/relationships/hyperlink" Target="mailto:kishwar.azad@googlemail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e.fottrell@ucl.ac.uk" TargetMode="External"/><Relationship Id="rId20" Type="http://schemas.openxmlformats.org/officeDocument/2006/relationships/hyperlink" Target="mailto:kishwar.azad@google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4324/RFA.07.1.17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i.org/10.1186/ISRCTN42219712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oi.org/10.1186/s12889-023-15551-9" TargetMode="External"/><Relationship Id="rId19" Type="http://schemas.openxmlformats.org/officeDocument/2006/relationships/hyperlink" Target="mailto:e.fottrell@ucl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36/bmjopen-2024-089288" TargetMode="External"/><Relationship Id="rId14" Type="http://schemas.openxmlformats.org/officeDocument/2006/relationships/hyperlink" Target="https://doi.org/10.1186/s13063-023-07243-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King</dc:creator>
  <cp:keywords/>
  <dc:description/>
  <cp:lastModifiedBy>Fottrell, Edward</cp:lastModifiedBy>
  <cp:revision>184</cp:revision>
  <dcterms:created xsi:type="dcterms:W3CDTF">2025-03-24T07:57:00Z</dcterms:created>
  <dcterms:modified xsi:type="dcterms:W3CDTF">2025-04-10T08:47:00Z</dcterms:modified>
</cp:coreProperties>
</file>