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1C70" w14:textId="6B6B7F1A" w:rsidR="00C560FB" w:rsidRPr="000F2000" w:rsidRDefault="003B2211" w:rsidP="00EC552D">
      <w:pPr>
        <w:spacing w:line="360" w:lineRule="auto"/>
        <w:jc w:val="center"/>
        <w:rPr>
          <w:b/>
          <w:sz w:val="32"/>
          <w:szCs w:val="32"/>
        </w:rPr>
      </w:pPr>
      <w:r>
        <w:rPr>
          <w:b/>
          <w:sz w:val="32"/>
          <w:szCs w:val="32"/>
        </w:rPr>
        <w:t>Optimis</w:t>
      </w:r>
      <w:r w:rsidR="0074151E">
        <w:rPr>
          <w:b/>
          <w:sz w:val="32"/>
          <w:szCs w:val="32"/>
        </w:rPr>
        <w:t>ing p</w:t>
      </w:r>
      <w:r w:rsidR="00C560FB" w:rsidRPr="000F2000">
        <w:rPr>
          <w:b/>
          <w:sz w:val="32"/>
          <w:szCs w:val="32"/>
        </w:rPr>
        <w:t xml:space="preserve">artner </w:t>
      </w:r>
      <w:r w:rsidR="0074151E">
        <w:rPr>
          <w:b/>
          <w:sz w:val="32"/>
          <w:szCs w:val="32"/>
        </w:rPr>
        <w:t>n</w:t>
      </w:r>
      <w:r w:rsidR="00C560FB" w:rsidRPr="000F2000">
        <w:rPr>
          <w:b/>
          <w:sz w:val="32"/>
          <w:szCs w:val="32"/>
        </w:rPr>
        <w:t xml:space="preserve">otification </w:t>
      </w:r>
      <w:r w:rsidR="0074151E">
        <w:rPr>
          <w:b/>
          <w:sz w:val="32"/>
          <w:szCs w:val="32"/>
        </w:rPr>
        <w:t>o</w:t>
      </w:r>
      <w:r w:rsidR="00C560FB" w:rsidRPr="000F2000">
        <w:rPr>
          <w:b/>
          <w:sz w:val="32"/>
          <w:szCs w:val="32"/>
        </w:rPr>
        <w:t xml:space="preserve">utcomes for </w:t>
      </w:r>
      <w:r w:rsidR="0074151E">
        <w:rPr>
          <w:b/>
          <w:sz w:val="32"/>
          <w:szCs w:val="32"/>
        </w:rPr>
        <w:t>b</w:t>
      </w:r>
      <w:r w:rsidR="00C560FB" w:rsidRPr="000F2000">
        <w:rPr>
          <w:b/>
          <w:sz w:val="32"/>
          <w:szCs w:val="32"/>
        </w:rPr>
        <w:t xml:space="preserve">acterial </w:t>
      </w:r>
      <w:r w:rsidR="0074151E">
        <w:rPr>
          <w:b/>
          <w:sz w:val="32"/>
          <w:szCs w:val="32"/>
        </w:rPr>
        <w:t>s</w:t>
      </w:r>
      <w:r w:rsidR="00C560FB" w:rsidRPr="000F2000">
        <w:rPr>
          <w:b/>
          <w:sz w:val="32"/>
          <w:szCs w:val="32"/>
        </w:rPr>
        <w:t xml:space="preserve">exually </w:t>
      </w:r>
      <w:r w:rsidR="0074151E">
        <w:rPr>
          <w:b/>
          <w:sz w:val="32"/>
          <w:szCs w:val="32"/>
        </w:rPr>
        <w:t>t</w:t>
      </w:r>
      <w:r w:rsidR="00C560FB" w:rsidRPr="000F2000">
        <w:rPr>
          <w:b/>
          <w:sz w:val="32"/>
          <w:szCs w:val="32"/>
        </w:rPr>
        <w:t xml:space="preserve">ransmitted </w:t>
      </w:r>
      <w:r w:rsidR="0074151E">
        <w:rPr>
          <w:b/>
          <w:sz w:val="32"/>
          <w:szCs w:val="32"/>
        </w:rPr>
        <w:t>i</w:t>
      </w:r>
      <w:r w:rsidR="00C560FB" w:rsidRPr="000F2000">
        <w:rPr>
          <w:b/>
          <w:sz w:val="32"/>
          <w:szCs w:val="32"/>
        </w:rPr>
        <w:t>nfections</w:t>
      </w:r>
      <w:r>
        <w:rPr>
          <w:b/>
          <w:sz w:val="32"/>
          <w:szCs w:val="32"/>
        </w:rPr>
        <w:t>: a deliberative process and consensus</w:t>
      </w:r>
    </w:p>
    <w:p w14:paraId="2A751D84" w14:textId="77777777" w:rsidR="00C560FB" w:rsidRDefault="00C560FB" w:rsidP="00EC552D">
      <w:pPr>
        <w:spacing w:line="360" w:lineRule="auto"/>
        <w:jc w:val="center"/>
        <w:rPr>
          <w:rFonts w:eastAsia="Times New Roman" w:cs="Times New Roman"/>
          <w:b/>
          <w:lang w:eastAsia="en-GB"/>
        </w:rPr>
      </w:pPr>
    </w:p>
    <w:p w14:paraId="69FA2326" w14:textId="013C7565" w:rsidR="00C560FB" w:rsidRDefault="00C560FB" w:rsidP="00EC552D">
      <w:pPr>
        <w:spacing w:after="0" w:line="360" w:lineRule="auto"/>
        <w:jc w:val="center"/>
        <w:rPr>
          <w:rFonts w:eastAsia="Times New Roman" w:cs="Times New Roman"/>
          <w:b/>
          <w:szCs w:val="24"/>
          <w:lang w:eastAsia="en-GB"/>
        </w:rPr>
      </w:pPr>
      <w:r w:rsidRPr="000F2000">
        <w:rPr>
          <w:rFonts w:eastAsia="Times New Roman" w:cs="Times New Roman"/>
          <w:b/>
          <w:szCs w:val="24"/>
          <w:lang w:eastAsia="en-GB"/>
        </w:rPr>
        <w:t>Authors: Sonali Wayal</w:t>
      </w:r>
      <w:r w:rsidR="00ED5C49">
        <w:rPr>
          <w:rFonts w:eastAsia="Times New Roman" w:cs="Times New Roman"/>
          <w:b/>
          <w:szCs w:val="24"/>
          <w:vertAlign w:val="superscript"/>
          <w:lang w:eastAsia="en-GB"/>
        </w:rPr>
        <w:t>1,2</w:t>
      </w:r>
      <w:r w:rsidRPr="000F2000">
        <w:rPr>
          <w:rFonts w:eastAsia="Times New Roman" w:cs="Times New Roman"/>
          <w:b/>
          <w:szCs w:val="24"/>
          <w:lang w:eastAsia="en-GB"/>
        </w:rPr>
        <w:t xml:space="preserve">, Claudia </w:t>
      </w:r>
      <w:r w:rsidR="00B46FCE">
        <w:rPr>
          <w:rFonts w:eastAsia="Times New Roman" w:cs="Times New Roman"/>
          <w:b/>
          <w:szCs w:val="24"/>
          <w:lang w:eastAsia="en-GB"/>
        </w:rPr>
        <w:t xml:space="preserve">S. </w:t>
      </w:r>
      <w:r w:rsidRPr="000F2000">
        <w:rPr>
          <w:rFonts w:eastAsia="Times New Roman" w:cs="Times New Roman"/>
          <w:b/>
          <w:szCs w:val="24"/>
          <w:lang w:eastAsia="en-GB"/>
        </w:rPr>
        <w:t>Estcourt</w:t>
      </w:r>
      <w:r w:rsidR="00ED5C49">
        <w:rPr>
          <w:rFonts w:eastAsia="Times New Roman" w:cs="Times New Roman"/>
          <w:b/>
          <w:szCs w:val="24"/>
          <w:vertAlign w:val="superscript"/>
          <w:lang w:eastAsia="en-GB"/>
        </w:rPr>
        <w:t>2,3</w:t>
      </w:r>
      <w:r w:rsidRPr="000F2000">
        <w:rPr>
          <w:rFonts w:eastAsia="Times New Roman" w:cs="Times New Roman"/>
          <w:b/>
          <w:szCs w:val="24"/>
          <w:lang w:eastAsia="en-GB"/>
        </w:rPr>
        <w:t>, Cath</w:t>
      </w:r>
      <w:r w:rsidR="00B851E4">
        <w:rPr>
          <w:rFonts w:eastAsia="Times New Roman" w:cs="Times New Roman"/>
          <w:b/>
          <w:szCs w:val="24"/>
          <w:lang w:eastAsia="en-GB"/>
        </w:rPr>
        <w:t>erine H.</w:t>
      </w:r>
      <w:r w:rsidRPr="000F2000">
        <w:rPr>
          <w:rFonts w:eastAsia="Times New Roman" w:cs="Times New Roman"/>
          <w:b/>
          <w:szCs w:val="24"/>
          <w:lang w:eastAsia="en-GB"/>
        </w:rPr>
        <w:t xml:space="preserve"> Mercer</w:t>
      </w:r>
      <w:r w:rsidR="00ED5C49">
        <w:rPr>
          <w:rFonts w:eastAsia="Times New Roman" w:cs="Times New Roman"/>
          <w:b/>
          <w:szCs w:val="24"/>
          <w:vertAlign w:val="superscript"/>
          <w:lang w:eastAsia="en-GB"/>
        </w:rPr>
        <w:t>2</w:t>
      </w:r>
      <w:r w:rsidRPr="000F2000">
        <w:rPr>
          <w:rFonts w:eastAsia="Times New Roman" w:cs="Times New Roman"/>
          <w:b/>
          <w:szCs w:val="24"/>
          <w:lang w:eastAsia="en-GB"/>
        </w:rPr>
        <w:t>, John Saunders</w:t>
      </w:r>
      <w:r w:rsidR="00ED5C49">
        <w:rPr>
          <w:rFonts w:eastAsia="Times New Roman" w:cs="Times New Roman"/>
          <w:b/>
          <w:szCs w:val="24"/>
          <w:vertAlign w:val="superscript"/>
          <w:lang w:eastAsia="en-GB"/>
        </w:rPr>
        <w:t>2</w:t>
      </w:r>
      <w:r w:rsidRPr="000F2000">
        <w:rPr>
          <w:rFonts w:eastAsia="Times New Roman" w:cs="Times New Roman"/>
          <w:b/>
          <w:szCs w:val="24"/>
          <w:lang w:eastAsia="en-GB"/>
        </w:rPr>
        <w:t xml:space="preserve">, </w:t>
      </w:r>
    </w:p>
    <w:p w14:paraId="51AA696D" w14:textId="7B926A84" w:rsidR="00AB2884" w:rsidRPr="00ED5C49" w:rsidRDefault="00C560FB" w:rsidP="00EC552D">
      <w:pPr>
        <w:spacing w:after="0" w:line="360" w:lineRule="auto"/>
        <w:jc w:val="center"/>
        <w:rPr>
          <w:rFonts w:eastAsia="Times New Roman" w:cs="Times New Roman"/>
          <w:b/>
          <w:szCs w:val="24"/>
          <w:vertAlign w:val="superscript"/>
          <w:lang w:eastAsia="en-GB"/>
        </w:rPr>
      </w:pPr>
      <w:r w:rsidRPr="000F2000">
        <w:rPr>
          <w:rFonts w:eastAsia="Times New Roman" w:cs="Times New Roman"/>
          <w:b/>
          <w:szCs w:val="24"/>
          <w:lang w:eastAsia="en-GB"/>
        </w:rPr>
        <w:t>Nicola Low</w:t>
      </w:r>
      <w:r w:rsidR="00ED5C49">
        <w:rPr>
          <w:rFonts w:eastAsia="Times New Roman" w:cs="Times New Roman"/>
          <w:b/>
          <w:szCs w:val="24"/>
          <w:vertAlign w:val="superscript"/>
          <w:lang w:eastAsia="en-GB"/>
        </w:rPr>
        <w:t>4</w:t>
      </w:r>
      <w:r w:rsidRPr="000F2000">
        <w:rPr>
          <w:rFonts w:eastAsia="Times New Roman" w:cs="Times New Roman"/>
          <w:b/>
          <w:szCs w:val="24"/>
          <w:lang w:eastAsia="en-GB"/>
        </w:rPr>
        <w:t xml:space="preserve">, </w:t>
      </w:r>
      <w:r w:rsidRPr="00C83217">
        <w:rPr>
          <w:rFonts w:cs="Times New Roman"/>
          <w:b/>
          <w:szCs w:val="24"/>
          <w:lang w:val="en-US"/>
        </w:rPr>
        <w:t>Tamsin Mc</w:t>
      </w:r>
      <w:r w:rsidR="000B1AA5">
        <w:rPr>
          <w:rFonts w:cs="Times New Roman"/>
          <w:b/>
          <w:szCs w:val="24"/>
          <w:lang w:val="en-US"/>
        </w:rPr>
        <w:t>K</w:t>
      </w:r>
      <w:r w:rsidRPr="00C83217">
        <w:rPr>
          <w:rFonts w:cs="Times New Roman"/>
          <w:b/>
          <w:szCs w:val="24"/>
          <w:lang w:val="en-US"/>
        </w:rPr>
        <w:t>innon</w:t>
      </w:r>
      <w:r w:rsidR="00ED5C49">
        <w:rPr>
          <w:rFonts w:cs="Times New Roman"/>
          <w:b/>
          <w:szCs w:val="24"/>
          <w:vertAlign w:val="superscript"/>
          <w:lang w:val="en-US"/>
        </w:rPr>
        <w:t>2</w:t>
      </w:r>
      <w:r>
        <w:rPr>
          <w:rFonts w:cs="Times New Roman"/>
          <w:b/>
          <w:szCs w:val="24"/>
          <w:lang w:val="en-US"/>
        </w:rPr>
        <w:t>,</w:t>
      </w:r>
      <w:r w:rsidRPr="000F2000">
        <w:rPr>
          <w:rFonts w:eastAsia="Times New Roman" w:cs="Times New Roman"/>
          <w:b/>
          <w:szCs w:val="24"/>
          <w:lang w:eastAsia="en-GB"/>
        </w:rPr>
        <w:t xml:space="preserve"> Merle </w:t>
      </w:r>
      <w:r w:rsidRPr="00C83217">
        <w:rPr>
          <w:rFonts w:eastAsia="Times New Roman" w:cs="Times New Roman"/>
          <w:b/>
          <w:szCs w:val="24"/>
          <w:lang w:eastAsia="en-GB"/>
        </w:rPr>
        <w:t>Symonds</w:t>
      </w:r>
      <w:r w:rsidR="00ED5C49">
        <w:rPr>
          <w:rFonts w:eastAsia="Times New Roman" w:cs="Times New Roman"/>
          <w:b/>
          <w:szCs w:val="24"/>
          <w:vertAlign w:val="superscript"/>
          <w:lang w:eastAsia="en-GB"/>
        </w:rPr>
        <w:t>5</w:t>
      </w:r>
      <w:r w:rsidR="00AB2884">
        <w:rPr>
          <w:rFonts w:eastAsia="Times New Roman" w:cs="Times New Roman"/>
          <w:b/>
          <w:szCs w:val="24"/>
          <w:lang w:eastAsia="en-GB"/>
        </w:rPr>
        <w:t xml:space="preserve">, Jackie </w:t>
      </w:r>
      <w:r w:rsidR="001302B8">
        <w:rPr>
          <w:rFonts w:eastAsia="Times New Roman" w:cs="Times New Roman"/>
          <w:b/>
          <w:szCs w:val="24"/>
          <w:lang w:eastAsia="en-GB"/>
        </w:rPr>
        <w:t>A</w:t>
      </w:r>
      <w:r w:rsidR="00B46FCE">
        <w:rPr>
          <w:rFonts w:eastAsia="Times New Roman" w:cs="Times New Roman"/>
          <w:b/>
          <w:szCs w:val="24"/>
          <w:lang w:eastAsia="en-GB"/>
        </w:rPr>
        <w:t>.</w:t>
      </w:r>
      <w:r w:rsidR="001302B8">
        <w:rPr>
          <w:rFonts w:eastAsia="Times New Roman" w:cs="Times New Roman"/>
          <w:b/>
          <w:szCs w:val="24"/>
          <w:lang w:eastAsia="en-GB"/>
        </w:rPr>
        <w:t xml:space="preserve"> </w:t>
      </w:r>
      <w:r w:rsidR="00AB2884">
        <w:rPr>
          <w:rFonts w:eastAsia="Times New Roman" w:cs="Times New Roman"/>
          <w:b/>
          <w:szCs w:val="24"/>
          <w:lang w:eastAsia="en-GB"/>
        </w:rPr>
        <w:t>Cassell</w:t>
      </w:r>
      <w:r w:rsidR="00ED5C49">
        <w:rPr>
          <w:rFonts w:eastAsia="Times New Roman" w:cs="Times New Roman"/>
          <w:b/>
          <w:szCs w:val="24"/>
          <w:vertAlign w:val="superscript"/>
          <w:lang w:eastAsia="en-GB"/>
        </w:rPr>
        <w:t>6</w:t>
      </w:r>
    </w:p>
    <w:p w14:paraId="5A1835A2" w14:textId="6DCE7266" w:rsidR="001B1B5A" w:rsidRDefault="001B1B5A" w:rsidP="00ED5C49">
      <w:pPr>
        <w:spacing w:after="0" w:line="360" w:lineRule="auto"/>
        <w:jc w:val="left"/>
        <w:rPr>
          <w:rFonts w:eastAsia="Times New Roman" w:cs="Times New Roman"/>
          <w:b/>
          <w:szCs w:val="24"/>
          <w:lang w:eastAsia="en-GB"/>
        </w:rPr>
      </w:pPr>
    </w:p>
    <w:p w14:paraId="632BEFFF" w14:textId="77777777" w:rsidR="00ED5C49" w:rsidRDefault="001B1B5A" w:rsidP="00ED5C49">
      <w:pPr>
        <w:spacing w:after="0" w:line="360" w:lineRule="auto"/>
        <w:jc w:val="left"/>
        <w:rPr>
          <w:rFonts w:eastAsia="Times New Roman" w:cs="Times New Roman"/>
          <w:b/>
          <w:szCs w:val="24"/>
          <w:lang w:eastAsia="en-GB"/>
        </w:rPr>
      </w:pPr>
      <w:r>
        <w:rPr>
          <w:rFonts w:eastAsia="Times New Roman" w:cs="Times New Roman"/>
          <w:b/>
          <w:szCs w:val="24"/>
          <w:lang w:eastAsia="en-GB"/>
        </w:rPr>
        <w:t xml:space="preserve">Affiliations: </w:t>
      </w:r>
    </w:p>
    <w:p w14:paraId="34137E45" w14:textId="62A2A1E7" w:rsidR="00ED5C49" w:rsidRDefault="00ED5C49" w:rsidP="00ED5C49">
      <w:pPr>
        <w:pStyle w:val="ListParagraph"/>
        <w:numPr>
          <w:ilvl w:val="0"/>
          <w:numId w:val="34"/>
        </w:numPr>
        <w:spacing w:after="0" w:line="360" w:lineRule="auto"/>
        <w:jc w:val="left"/>
        <w:rPr>
          <w:rFonts w:eastAsia="Times New Roman" w:cs="Times New Roman"/>
          <w:b/>
          <w:szCs w:val="24"/>
          <w:lang w:eastAsia="en-GB"/>
        </w:rPr>
      </w:pPr>
      <w:r w:rsidRPr="00ED5C49">
        <w:rPr>
          <w:rFonts w:eastAsia="Times New Roman" w:cs="Times New Roman"/>
          <w:b/>
          <w:szCs w:val="24"/>
          <w:lang w:eastAsia="en-GB"/>
        </w:rPr>
        <w:t>NIHR Health Protection Research Unit in Blood Borne and Sexually Transmitted Infections, U</w:t>
      </w:r>
      <w:r>
        <w:rPr>
          <w:rFonts w:eastAsia="Times New Roman" w:cs="Times New Roman"/>
          <w:b/>
          <w:szCs w:val="24"/>
          <w:lang w:eastAsia="en-GB"/>
        </w:rPr>
        <w:t xml:space="preserve">niversity </w:t>
      </w:r>
      <w:r w:rsidRPr="00ED5C49">
        <w:rPr>
          <w:rFonts w:eastAsia="Times New Roman" w:cs="Times New Roman"/>
          <w:b/>
          <w:szCs w:val="24"/>
          <w:lang w:eastAsia="en-GB"/>
        </w:rPr>
        <w:t>C</w:t>
      </w:r>
      <w:r>
        <w:rPr>
          <w:rFonts w:eastAsia="Times New Roman" w:cs="Times New Roman"/>
          <w:b/>
          <w:szCs w:val="24"/>
          <w:lang w:eastAsia="en-GB"/>
        </w:rPr>
        <w:t xml:space="preserve">ollege </w:t>
      </w:r>
      <w:r w:rsidRPr="00ED5C49">
        <w:rPr>
          <w:rFonts w:eastAsia="Times New Roman" w:cs="Times New Roman"/>
          <w:b/>
          <w:szCs w:val="24"/>
          <w:lang w:eastAsia="en-GB"/>
        </w:rPr>
        <w:t>L</w:t>
      </w:r>
      <w:r>
        <w:rPr>
          <w:rFonts w:eastAsia="Times New Roman" w:cs="Times New Roman"/>
          <w:b/>
          <w:szCs w:val="24"/>
          <w:lang w:eastAsia="en-GB"/>
        </w:rPr>
        <w:t>ondon, London, UK</w:t>
      </w:r>
    </w:p>
    <w:p w14:paraId="7B0ADC69" w14:textId="15620BE7" w:rsidR="001B1B5A" w:rsidRDefault="00ED5C49" w:rsidP="00ED5C49">
      <w:pPr>
        <w:pStyle w:val="ListParagraph"/>
        <w:numPr>
          <w:ilvl w:val="0"/>
          <w:numId w:val="34"/>
        </w:numPr>
        <w:spacing w:after="0" w:line="360" w:lineRule="auto"/>
        <w:jc w:val="left"/>
        <w:rPr>
          <w:rFonts w:eastAsia="Times New Roman" w:cs="Times New Roman"/>
          <w:b/>
          <w:szCs w:val="24"/>
          <w:lang w:eastAsia="en-GB"/>
        </w:rPr>
      </w:pPr>
      <w:r w:rsidRPr="00ED5C49">
        <w:rPr>
          <w:rFonts w:eastAsia="Times New Roman" w:cs="Times New Roman"/>
          <w:b/>
          <w:szCs w:val="24"/>
          <w:lang w:eastAsia="en-GB"/>
        </w:rPr>
        <w:t xml:space="preserve">Institute for Global Health, </w:t>
      </w:r>
      <w:r>
        <w:rPr>
          <w:rFonts w:eastAsia="Times New Roman" w:cs="Times New Roman"/>
          <w:b/>
          <w:szCs w:val="24"/>
          <w:lang w:eastAsia="en-GB"/>
        </w:rPr>
        <w:t>University College London</w:t>
      </w:r>
      <w:r w:rsidRPr="00ED5C49">
        <w:rPr>
          <w:rFonts w:eastAsia="Times New Roman" w:cs="Times New Roman"/>
          <w:b/>
          <w:szCs w:val="24"/>
          <w:lang w:eastAsia="en-GB"/>
        </w:rPr>
        <w:t>, London, UK</w:t>
      </w:r>
    </w:p>
    <w:p w14:paraId="39C0A34F" w14:textId="1F40B834" w:rsidR="00ED5C49" w:rsidRDefault="00ED5C49" w:rsidP="00ED5C49">
      <w:pPr>
        <w:pStyle w:val="ListParagraph"/>
        <w:numPr>
          <w:ilvl w:val="0"/>
          <w:numId w:val="34"/>
        </w:numPr>
        <w:spacing w:after="0" w:line="360" w:lineRule="auto"/>
        <w:jc w:val="left"/>
        <w:rPr>
          <w:rFonts w:eastAsia="Times New Roman" w:cs="Times New Roman"/>
          <w:b/>
          <w:szCs w:val="24"/>
          <w:lang w:eastAsia="en-GB"/>
        </w:rPr>
      </w:pPr>
      <w:r w:rsidRPr="00ED5C49">
        <w:rPr>
          <w:rFonts w:eastAsia="Times New Roman" w:cs="Times New Roman"/>
          <w:b/>
          <w:szCs w:val="24"/>
          <w:lang w:eastAsia="en-GB"/>
        </w:rPr>
        <w:t>School of Health and Life Sciences, Glasgow Caledonian University, Glasgow, UK</w:t>
      </w:r>
    </w:p>
    <w:p w14:paraId="56C7D675" w14:textId="10E752D9" w:rsidR="00ED5C49" w:rsidRDefault="00ED5C49" w:rsidP="00ED5C49">
      <w:pPr>
        <w:pStyle w:val="ListParagraph"/>
        <w:numPr>
          <w:ilvl w:val="0"/>
          <w:numId w:val="34"/>
        </w:numPr>
        <w:spacing w:after="0" w:line="360" w:lineRule="auto"/>
        <w:jc w:val="left"/>
        <w:rPr>
          <w:rFonts w:eastAsia="Times New Roman" w:cs="Times New Roman"/>
          <w:b/>
          <w:szCs w:val="24"/>
          <w:lang w:eastAsia="en-GB"/>
        </w:rPr>
      </w:pPr>
      <w:r w:rsidRPr="00ED5C49">
        <w:rPr>
          <w:rFonts w:eastAsia="Times New Roman" w:cs="Times New Roman"/>
          <w:b/>
          <w:szCs w:val="24"/>
          <w:lang w:eastAsia="en-GB"/>
        </w:rPr>
        <w:t>Institute of Social and Preventive Medicine, University of Bern, Bern, Switzerland</w:t>
      </w:r>
    </w:p>
    <w:p w14:paraId="2A90EE5E" w14:textId="3C674627" w:rsidR="00ED5C49" w:rsidRDefault="00ED5C49" w:rsidP="00ED5C49">
      <w:pPr>
        <w:pStyle w:val="ListParagraph"/>
        <w:numPr>
          <w:ilvl w:val="0"/>
          <w:numId w:val="34"/>
        </w:numPr>
        <w:spacing w:after="0" w:line="360" w:lineRule="auto"/>
        <w:jc w:val="left"/>
        <w:rPr>
          <w:rFonts w:eastAsia="Times New Roman" w:cs="Times New Roman"/>
          <w:b/>
          <w:szCs w:val="24"/>
          <w:lang w:eastAsia="en-GB"/>
        </w:rPr>
      </w:pPr>
      <w:r w:rsidRPr="00ED5C49">
        <w:rPr>
          <w:rFonts w:eastAsia="Times New Roman" w:cs="Times New Roman"/>
          <w:b/>
          <w:szCs w:val="24"/>
          <w:lang w:eastAsia="en-GB"/>
        </w:rPr>
        <w:t>Western Sussex Hospitals NHS Foundation Trust, Worthing, West Sussex, UK</w:t>
      </w:r>
    </w:p>
    <w:p w14:paraId="60FB12AB" w14:textId="00837BAD" w:rsidR="00ED5C49" w:rsidRPr="00ED5C49" w:rsidRDefault="00ED5C49" w:rsidP="00ED5C49">
      <w:pPr>
        <w:pStyle w:val="ListParagraph"/>
        <w:numPr>
          <w:ilvl w:val="0"/>
          <w:numId w:val="34"/>
        </w:numPr>
        <w:spacing w:after="0" w:line="360" w:lineRule="auto"/>
        <w:jc w:val="left"/>
        <w:rPr>
          <w:rFonts w:eastAsia="Times New Roman" w:cs="Times New Roman"/>
          <w:b/>
          <w:szCs w:val="24"/>
          <w:lang w:eastAsia="en-GB"/>
        </w:rPr>
      </w:pPr>
      <w:r w:rsidRPr="00ED5C49">
        <w:rPr>
          <w:rFonts w:eastAsia="Times New Roman" w:cs="Times New Roman"/>
          <w:b/>
          <w:szCs w:val="24"/>
          <w:lang w:eastAsia="en-GB"/>
        </w:rPr>
        <w:t>Brighton and Sussex Medical School, East Sussex, UK</w:t>
      </w:r>
    </w:p>
    <w:p w14:paraId="45606B5F" w14:textId="1F0402B1" w:rsidR="001B1B5A" w:rsidRDefault="001B1B5A" w:rsidP="00ED5C49">
      <w:pPr>
        <w:spacing w:after="0" w:line="360" w:lineRule="auto"/>
        <w:jc w:val="left"/>
        <w:rPr>
          <w:rFonts w:eastAsia="Times New Roman" w:cs="Times New Roman"/>
          <w:b/>
          <w:szCs w:val="24"/>
          <w:lang w:eastAsia="en-GB"/>
        </w:rPr>
      </w:pPr>
    </w:p>
    <w:p w14:paraId="77E7F858" w14:textId="5537CA55" w:rsidR="001B1B5A" w:rsidRDefault="001B1B5A" w:rsidP="00ED5C49">
      <w:pPr>
        <w:spacing w:after="0" w:line="360" w:lineRule="auto"/>
        <w:jc w:val="left"/>
        <w:rPr>
          <w:rFonts w:eastAsia="Times New Roman" w:cs="Times New Roman"/>
          <w:b/>
          <w:szCs w:val="24"/>
          <w:lang w:eastAsia="en-GB"/>
        </w:rPr>
      </w:pPr>
      <w:r>
        <w:rPr>
          <w:rFonts w:eastAsia="Times New Roman" w:cs="Times New Roman"/>
          <w:b/>
          <w:szCs w:val="24"/>
          <w:lang w:eastAsia="en-GB"/>
        </w:rPr>
        <w:t>Corresponding Author Information</w:t>
      </w:r>
      <w:r w:rsidR="007E3C63">
        <w:rPr>
          <w:rFonts w:eastAsia="Times New Roman" w:cs="Times New Roman"/>
          <w:b/>
          <w:szCs w:val="24"/>
          <w:lang w:eastAsia="en-GB"/>
        </w:rPr>
        <w:t>: Professor Jackie A. Cassell</w:t>
      </w:r>
      <w:r w:rsidR="007C4593">
        <w:rPr>
          <w:rFonts w:eastAsia="Times New Roman" w:cs="Times New Roman"/>
          <w:b/>
          <w:szCs w:val="24"/>
          <w:lang w:eastAsia="en-GB"/>
        </w:rPr>
        <w:t xml:space="preserve">. </w:t>
      </w:r>
      <w:r w:rsidR="007C4593" w:rsidRPr="007C4593">
        <w:rPr>
          <w:rFonts w:eastAsia="Times New Roman" w:cs="Times New Roman"/>
          <w:b/>
          <w:szCs w:val="24"/>
          <w:lang w:eastAsia="en-GB"/>
        </w:rPr>
        <w:t>j.cassell@bsms.ac.uk</w:t>
      </w:r>
      <w:r w:rsidR="007C4593">
        <w:rPr>
          <w:rFonts w:eastAsia="Times New Roman" w:cs="Times New Roman"/>
          <w:b/>
          <w:szCs w:val="24"/>
          <w:lang w:eastAsia="en-GB"/>
        </w:rPr>
        <w:t>.</w:t>
      </w:r>
    </w:p>
    <w:p w14:paraId="7DFE9FC4" w14:textId="2C440EDA" w:rsidR="001B1B5A" w:rsidRDefault="001B1B5A" w:rsidP="001B1B5A">
      <w:pPr>
        <w:spacing w:after="0" w:line="360" w:lineRule="auto"/>
        <w:jc w:val="center"/>
        <w:rPr>
          <w:rFonts w:eastAsia="Times New Roman" w:cs="Times New Roman"/>
          <w:b/>
          <w:szCs w:val="24"/>
          <w:lang w:eastAsia="en-GB"/>
        </w:rPr>
      </w:pPr>
    </w:p>
    <w:p w14:paraId="7D5E965D" w14:textId="77777777" w:rsidR="00707197" w:rsidRDefault="00707197" w:rsidP="001B1B5A">
      <w:pPr>
        <w:spacing w:line="360" w:lineRule="auto"/>
        <w:jc w:val="left"/>
        <w:rPr>
          <w:b/>
          <w:u w:val="single"/>
        </w:rPr>
      </w:pPr>
      <w:bookmarkStart w:id="0" w:name="_Toc15394627"/>
    </w:p>
    <w:p w14:paraId="1F32AEC8" w14:textId="77777777" w:rsidR="00707197" w:rsidRDefault="00707197" w:rsidP="001B1B5A">
      <w:pPr>
        <w:spacing w:line="360" w:lineRule="auto"/>
        <w:jc w:val="left"/>
        <w:rPr>
          <w:b/>
          <w:u w:val="single"/>
        </w:rPr>
      </w:pPr>
    </w:p>
    <w:p w14:paraId="0F5A2A7A" w14:textId="77777777" w:rsidR="00707197" w:rsidRDefault="00707197" w:rsidP="001B1B5A">
      <w:pPr>
        <w:spacing w:line="360" w:lineRule="auto"/>
        <w:jc w:val="left"/>
        <w:rPr>
          <w:b/>
          <w:u w:val="single"/>
        </w:rPr>
      </w:pPr>
    </w:p>
    <w:p w14:paraId="048F805F" w14:textId="77777777" w:rsidR="00707197" w:rsidRDefault="00707197" w:rsidP="001B1B5A">
      <w:pPr>
        <w:spacing w:line="360" w:lineRule="auto"/>
        <w:jc w:val="left"/>
        <w:rPr>
          <w:b/>
          <w:u w:val="single"/>
        </w:rPr>
      </w:pPr>
    </w:p>
    <w:p w14:paraId="77C3E40C" w14:textId="77777777" w:rsidR="00707197" w:rsidRDefault="00707197" w:rsidP="001B1B5A">
      <w:pPr>
        <w:spacing w:line="360" w:lineRule="auto"/>
        <w:jc w:val="left"/>
        <w:rPr>
          <w:b/>
          <w:u w:val="single"/>
        </w:rPr>
      </w:pPr>
    </w:p>
    <w:p w14:paraId="64E411F5" w14:textId="77777777" w:rsidR="00707197" w:rsidRDefault="00707197" w:rsidP="001B1B5A">
      <w:pPr>
        <w:spacing w:line="360" w:lineRule="auto"/>
        <w:jc w:val="left"/>
        <w:rPr>
          <w:b/>
          <w:u w:val="single"/>
        </w:rPr>
      </w:pPr>
    </w:p>
    <w:p w14:paraId="1E7A75A7" w14:textId="77777777" w:rsidR="00707197" w:rsidRDefault="00707197" w:rsidP="001B1B5A">
      <w:pPr>
        <w:spacing w:line="360" w:lineRule="auto"/>
        <w:jc w:val="left"/>
        <w:rPr>
          <w:b/>
          <w:u w:val="single"/>
        </w:rPr>
      </w:pPr>
    </w:p>
    <w:p w14:paraId="336B264B" w14:textId="77777777" w:rsidR="00707197" w:rsidRDefault="00707197" w:rsidP="001B1B5A">
      <w:pPr>
        <w:spacing w:line="360" w:lineRule="auto"/>
        <w:jc w:val="left"/>
        <w:rPr>
          <w:b/>
          <w:u w:val="single"/>
        </w:rPr>
      </w:pPr>
    </w:p>
    <w:p w14:paraId="5B4C6472" w14:textId="77777777" w:rsidR="00707197" w:rsidRDefault="00707197" w:rsidP="001B1B5A">
      <w:pPr>
        <w:spacing w:line="360" w:lineRule="auto"/>
        <w:jc w:val="left"/>
        <w:rPr>
          <w:b/>
          <w:u w:val="single"/>
        </w:rPr>
      </w:pPr>
    </w:p>
    <w:p w14:paraId="1A21A50D" w14:textId="77777777" w:rsidR="00707197" w:rsidRDefault="00707197" w:rsidP="001B1B5A">
      <w:pPr>
        <w:spacing w:line="360" w:lineRule="auto"/>
        <w:jc w:val="left"/>
        <w:rPr>
          <w:b/>
          <w:u w:val="single"/>
        </w:rPr>
      </w:pPr>
    </w:p>
    <w:p w14:paraId="33694AB4" w14:textId="1CB65683" w:rsidR="001B1B5A" w:rsidRPr="001B1B5A" w:rsidRDefault="001B1B5A" w:rsidP="001B1B5A">
      <w:pPr>
        <w:spacing w:line="360" w:lineRule="auto"/>
        <w:jc w:val="left"/>
        <w:rPr>
          <w:u w:val="single"/>
        </w:rPr>
      </w:pPr>
      <w:r w:rsidRPr="001B1B5A">
        <w:rPr>
          <w:b/>
          <w:u w:val="single"/>
        </w:rPr>
        <w:lastRenderedPageBreak/>
        <w:t>Abstract</w:t>
      </w:r>
      <w:bookmarkEnd w:id="0"/>
    </w:p>
    <w:p w14:paraId="6963A771" w14:textId="77777777" w:rsidR="001B1B5A" w:rsidRDefault="001B1B5A" w:rsidP="001B1B5A">
      <w:pPr>
        <w:spacing w:line="360" w:lineRule="auto"/>
        <w:jc w:val="left"/>
      </w:pPr>
      <w:r>
        <w:t xml:space="preserve">Partner notification (PN) is an essential element of sexually transmitted infection (STI) control.  It enables identification, treatment and advice for sexual contacts who may benefit from additional preventive interventions, such as </w:t>
      </w:r>
      <w:r w:rsidRPr="0085329D">
        <w:t xml:space="preserve">HIV </w:t>
      </w:r>
      <w:r>
        <w:t>p</w:t>
      </w:r>
      <w:r w:rsidRPr="0085329D">
        <w:t>re</w:t>
      </w:r>
      <w:r>
        <w:t>-e</w:t>
      </w:r>
      <w:r w:rsidRPr="0085329D">
        <w:t xml:space="preserve">xposure </w:t>
      </w:r>
      <w:r>
        <w:t>p</w:t>
      </w:r>
      <w:r w:rsidRPr="0085329D">
        <w:t>rophylaxis (PrEP</w:t>
      </w:r>
      <w:r>
        <w:t xml:space="preserve">). </w:t>
      </w:r>
      <w:r w:rsidRPr="00E56FD9">
        <w:t>PN is most effective in reducing STI transmission in a population when it reaches individuals who are most likely to have a STI</w:t>
      </w:r>
      <w:r>
        <w:t>,</w:t>
      </w:r>
      <w:r w:rsidRPr="00E56FD9">
        <w:t xml:space="preserve"> and</w:t>
      </w:r>
      <w:r>
        <w:t xml:space="preserve"> to</w:t>
      </w:r>
      <w:r w:rsidRPr="00E56FD9">
        <w:t xml:space="preserve"> engage in sexual behaviour that facilitates STI transmission, including having multiple and/or new sex partners</w:t>
      </w:r>
      <w:r>
        <w:t xml:space="preserve">. </w:t>
      </w:r>
    </w:p>
    <w:p w14:paraId="2F1B81E7" w14:textId="77777777" w:rsidR="001B1B5A" w:rsidRDefault="001B1B5A" w:rsidP="001B1B5A">
      <w:pPr>
        <w:spacing w:line="360" w:lineRule="auto"/>
        <w:jc w:val="left"/>
      </w:pPr>
      <w:r>
        <w:t>Outcomes of</w:t>
      </w:r>
      <w:r w:rsidRPr="00557509">
        <w:t xml:space="preserve"> PN </w:t>
      </w:r>
      <w:r>
        <w:t>practice need to</w:t>
      </w:r>
      <w:r w:rsidRPr="00557509">
        <w:t xml:space="preserve"> </w:t>
      </w:r>
      <w:r>
        <w:t>be measurable in order to inform standards.  They need to address all five</w:t>
      </w:r>
      <w:r w:rsidRPr="00557509">
        <w:t xml:space="preserve"> st</w:t>
      </w:r>
      <w:r>
        <w:t>ages</w:t>
      </w:r>
      <w:r w:rsidRPr="00557509">
        <w:t xml:space="preserve"> in the cascade</w:t>
      </w:r>
      <w:r>
        <w:t xml:space="preserve"> of care: elicitation of partners, establishing contactable partners, notification, testing and treatment</w:t>
      </w:r>
      <w:r w:rsidRPr="00557509">
        <w:t xml:space="preserve">. </w:t>
      </w:r>
      <w:r>
        <w:t>In the United Kingdom, e</w:t>
      </w:r>
      <w:r w:rsidRPr="00447B07">
        <w:t xml:space="preserve">stablished outcome measures </w:t>
      </w:r>
      <w:r>
        <w:t xml:space="preserve">cover only the first three stages and do not </w:t>
      </w:r>
      <w:proofErr w:type="gramStart"/>
      <w:r>
        <w:t>take into account</w:t>
      </w:r>
      <w:proofErr w:type="gramEnd"/>
      <w:r>
        <w:t xml:space="preserve"> the type of sexual partnership</w:t>
      </w:r>
      <w:r w:rsidRPr="00447B07">
        <w:t>.</w:t>
      </w:r>
      <w:r>
        <w:t xml:space="preserve"> </w:t>
      </w:r>
    </w:p>
    <w:p w14:paraId="4D534B51" w14:textId="77777777" w:rsidR="001B1B5A" w:rsidRDefault="001B1B5A" w:rsidP="001B1B5A">
      <w:pPr>
        <w:spacing w:line="360" w:lineRule="auto"/>
        <w:jc w:val="left"/>
      </w:pPr>
      <w:r>
        <w:t>We report on an evidence-based process used to develop new PN outcomes and inform standards of care. We undertook a systematic literature review, evaluation of published information on types of sexual partnership, and a modified Delphi process to reach consensus.</w:t>
      </w:r>
    </w:p>
    <w:p w14:paraId="4999A5D9" w14:textId="722959A7" w:rsidR="00707197" w:rsidRDefault="001B1B5A" w:rsidP="00707197">
      <w:pPr>
        <w:spacing w:line="360" w:lineRule="auto"/>
        <w:jc w:val="left"/>
      </w:pPr>
      <w:r>
        <w:t xml:space="preserve">We propose six new PN outcome measures at five stages of the cascade, including stratification for sex partnership type.  Our framework for PN outcome measurement has potential to contribute </w:t>
      </w:r>
      <w:proofErr w:type="gramStart"/>
      <w:r>
        <w:t>in</w:t>
      </w:r>
      <w:proofErr w:type="gramEnd"/>
      <w:r>
        <w:t xml:space="preserve"> other domains, notably Covid-19. </w:t>
      </w:r>
    </w:p>
    <w:p w14:paraId="376146AB" w14:textId="29E0D049" w:rsidR="00707197" w:rsidRDefault="00707197" w:rsidP="00707197">
      <w:pPr>
        <w:spacing w:line="360" w:lineRule="auto"/>
        <w:jc w:val="left"/>
      </w:pPr>
    </w:p>
    <w:p w14:paraId="30A342E8" w14:textId="024A9594" w:rsidR="00707197" w:rsidRDefault="00707197" w:rsidP="00707197">
      <w:pPr>
        <w:spacing w:line="360" w:lineRule="auto"/>
        <w:jc w:val="left"/>
      </w:pPr>
    </w:p>
    <w:p w14:paraId="0258F356" w14:textId="297BCFEF" w:rsidR="00707197" w:rsidRDefault="00707197" w:rsidP="00707197">
      <w:pPr>
        <w:spacing w:line="360" w:lineRule="auto"/>
        <w:jc w:val="left"/>
      </w:pPr>
    </w:p>
    <w:p w14:paraId="0DE4DC50" w14:textId="1FE4A8C1" w:rsidR="00707197" w:rsidRDefault="00707197" w:rsidP="00707197">
      <w:pPr>
        <w:spacing w:line="360" w:lineRule="auto"/>
        <w:jc w:val="left"/>
      </w:pPr>
    </w:p>
    <w:p w14:paraId="222AB6BA" w14:textId="5BB0C367" w:rsidR="00707197" w:rsidRDefault="00707197" w:rsidP="00707197">
      <w:pPr>
        <w:spacing w:line="360" w:lineRule="auto"/>
        <w:jc w:val="left"/>
      </w:pPr>
    </w:p>
    <w:p w14:paraId="27452B59" w14:textId="239CC283" w:rsidR="00707197" w:rsidRDefault="00707197" w:rsidP="00707197">
      <w:pPr>
        <w:spacing w:line="360" w:lineRule="auto"/>
        <w:jc w:val="left"/>
      </w:pPr>
    </w:p>
    <w:p w14:paraId="2E11E58D" w14:textId="7FA02970" w:rsidR="00707197" w:rsidRDefault="00707197" w:rsidP="00707197">
      <w:pPr>
        <w:spacing w:line="360" w:lineRule="auto"/>
        <w:jc w:val="left"/>
      </w:pPr>
    </w:p>
    <w:p w14:paraId="3E629803" w14:textId="77777777" w:rsidR="00707197" w:rsidRDefault="00707197" w:rsidP="00707197">
      <w:pPr>
        <w:spacing w:line="360" w:lineRule="auto"/>
        <w:jc w:val="left"/>
      </w:pPr>
    </w:p>
    <w:p w14:paraId="267C4003" w14:textId="77777777" w:rsidR="00707197" w:rsidRPr="009D791B" w:rsidRDefault="00707197" w:rsidP="00707197">
      <w:pPr>
        <w:pStyle w:val="Heading1"/>
        <w:spacing w:line="360" w:lineRule="auto"/>
      </w:pPr>
      <w:r w:rsidRPr="009D791B">
        <w:lastRenderedPageBreak/>
        <w:t>Background</w:t>
      </w:r>
    </w:p>
    <w:p w14:paraId="07B08630" w14:textId="77777777" w:rsidR="00707197" w:rsidRDefault="00707197" w:rsidP="00707197">
      <w:pPr>
        <w:spacing w:line="360" w:lineRule="auto"/>
      </w:pPr>
      <w:r>
        <w:t xml:space="preserve">Partner notification (PN) is a key strategy in sexually transmitted infection (STI) control. PN entails identifying and informing sex partners of persons diagnosed with STIs to facilitate their timely testing and treatment, to prevent reinfection of the person diagnosed (index patient) and onward transmission of infection </w:t>
      </w:r>
      <w:r>
        <w:fldChar w:fldCharType="begin" w:fldLock="1"/>
      </w:r>
      <w:r>
        <w:instrText>ADDIN CSL_CITATION {"citationItems":[{"id":"ITEM-1","itemData":{"DOI":"10.1016/S0140-6736(06)69482-8","ISSN":"0140-6736","PMID":"17141708","abstract":"Sexually transmitted infections other than HIV are important global health issues. They have, however, been neglected as a public-health priority and control efforts continue to fail. Sexually transmitted infections, by their nature, affect individuals, who are part of partnerships and larger sexual networks, and in turn populations. We propose a framework of individual, partnership, and population levels for examining the effects of sexually transmitted infections and interventions to control them. At the individual level we have a range of effective diagnostic tests, treatments, and vaccines. These options are unavailable or inaccessible in many resource-poor settings, where syndromic management remains the core intervention for individual case management. At the partnership level, partner notification and antenatal syphilis screening have the potential to prevent infection and re-infection. Interventions delivered to whole populations, or groups in whom the risks of infection and onward transmission are very high, have the greatest potential effect. Improvements to the infrastructure of treatment services can reduce the incidence of syphilis and gonorrhoea or urethritis. Strong evidence for the effectiveness of most other interventions on population-level outcomes is, however, scarce. Effective action requires a multifaceted approach including better basic epidemiological and surveillance data, high quality evidence about effectiveness of individual interventions and programmes, better methods to get effective interventions onto the policy agenda, and better advocacy and more commitment to get them implemented properly. We must not allow stigma, prejudice, and moral opposition to obstruct the goals of infectious disease control.","author":[{"dropping-particle":"","family":"Low","given":"Nicola","non-dropping-particle":"","parse-names":false,"suffix":""},{"dropping-particle":"","family":"Broutet","given":"Nathalie","non-dropping-particle":"","parse-names":false,"suffix":""},{"dropping-particle":"","family":"Adu-Sarkodie","given":"Yaw","non-dropping-particle":"","parse-names":false,"suffix":""},{"dropping-particle":"","family":"Barton","given":"Pelham","non-dropping-particle":"","parse-names":false,"suffix":""},{"dropping-particle":"","family":"Hossain","given":"Mazeda","non-dropping-particle":"","parse-names":false,"suffix":""},{"dropping-particle":"","family":"Hawkes","given":"Sarah","non-dropping-particle":"","parse-names":false,"suffix":""}],"container-title":"The Lancet","id":"ITEM-1","issue":"9551","issued":{"date-parts":[["2006"]]},"page":"2001-2016","publisher":"Elsevier","title":"Global control of sexually transmitted infections","type":"article-journal","volume":"368"},"uris":["http://www.mendeley.com/documents/?uuid=30d1b0e6-9475-32d5-82ac-49d1842e0137"]}],"mendeley":{"formattedCitation":"(1)","plainTextFormattedCitation":"(1)","previouslyFormattedCitation":"(1)"},"properties":{"noteIndex":0},"schema":"https://github.com/citation-style-language/schema/raw/master/csl-citation.json"}</w:instrText>
      </w:r>
      <w:r>
        <w:fldChar w:fldCharType="separate"/>
      </w:r>
      <w:r w:rsidRPr="000F78C0">
        <w:rPr>
          <w:noProof/>
        </w:rPr>
        <w:t>(1)</w:t>
      </w:r>
      <w:r>
        <w:fldChar w:fldCharType="end"/>
      </w:r>
      <w:r>
        <w:t xml:space="preserve">. PN is an important way of identifying, and providing care to, individuals who are unaware they have an STI. It has a high yield of positive test results compared with both population screening and testing of symptomatic individuals in sexual health services. PN also facilitates the identification of individuals who could benefit from preventive interventions such as </w:t>
      </w:r>
      <w:r w:rsidRPr="0085329D">
        <w:t xml:space="preserve">HIV </w:t>
      </w:r>
      <w:r>
        <w:t>p</w:t>
      </w:r>
      <w:r w:rsidRPr="0085329D">
        <w:t>re</w:t>
      </w:r>
      <w:r>
        <w:t>-e</w:t>
      </w:r>
      <w:r w:rsidRPr="0085329D">
        <w:t xml:space="preserve">xposure </w:t>
      </w:r>
      <w:r>
        <w:t>p</w:t>
      </w:r>
      <w:r w:rsidRPr="0085329D">
        <w:t>rophylaxis (PrEP</w:t>
      </w:r>
      <w:r>
        <w:t>) and post-exposure prophylaxis, hepatitis vaccination, and behavioural advice.</w:t>
      </w:r>
      <w:r w:rsidRPr="00FB2E40">
        <w:t xml:space="preserve"> </w:t>
      </w:r>
    </w:p>
    <w:p w14:paraId="1A18A3C6" w14:textId="77777777" w:rsidR="00707197" w:rsidRDefault="00707197" w:rsidP="00707197">
      <w:pPr>
        <w:spacing w:line="360" w:lineRule="auto"/>
      </w:pPr>
      <w:r w:rsidRPr="00A8553C">
        <w:t>The provision of PN</w:t>
      </w:r>
      <w:r>
        <w:t>,</w:t>
      </w:r>
      <w:r w:rsidRPr="00A8553C">
        <w:t xml:space="preserve"> and monitoring of </w:t>
      </w:r>
      <w:r>
        <w:t>its</w:t>
      </w:r>
      <w:r w:rsidRPr="00A8553C">
        <w:t xml:space="preserve"> performance</w:t>
      </w:r>
      <w:r>
        <w:t>,</w:t>
      </w:r>
      <w:r w:rsidRPr="00A8553C">
        <w:t xml:space="preserve"> </w:t>
      </w:r>
      <w:r>
        <w:t>are</w:t>
      </w:r>
      <w:r w:rsidRPr="00A8553C">
        <w:t xml:space="preserve"> key to </w:t>
      </w:r>
      <w:r>
        <w:t xml:space="preserve">improving </w:t>
      </w:r>
      <w:r w:rsidRPr="00A8553C">
        <w:t xml:space="preserve">the effectiveness of </w:t>
      </w:r>
      <w:r>
        <w:t xml:space="preserve">public health </w:t>
      </w:r>
      <w:r w:rsidRPr="00A8553C">
        <w:t>service</w:t>
      </w:r>
      <w:r>
        <w:t xml:space="preserve">s for </w:t>
      </w:r>
      <w:r w:rsidRPr="00A8553C">
        <w:t xml:space="preserve">STI </w:t>
      </w:r>
      <w:r>
        <w:t>care</w:t>
      </w:r>
      <w:r w:rsidRPr="00A8553C">
        <w:t xml:space="preserve">. </w:t>
      </w:r>
      <w:r>
        <w:t xml:space="preserve">The process of </w:t>
      </w:r>
      <w:r w:rsidRPr="00A8553C">
        <w:t xml:space="preserve">PN </w:t>
      </w:r>
      <w:r>
        <w:t>can be described in a care cascade, with distinct stages and outcomes that can contribute to processes of service quality improvement.</w:t>
      </w:r>
      <w:r w:rsidRPr="00A8553C">
        <w:t xml:space="preserve"> Figure 1 </w:t>
      </w:r>
      <w:r>
        <w:t xml:space="preserve">shows five steps </w:t>
      </w:r>
      <w:r w:rsidRPr="00A8553C">
        <w:t xml:space="preserve">from </w:t>
      </w:r>
      <w:r>
        <w:t>finding out from the infected person (index case) the sex partners who might have been exposed (elicitation), establishing those that can be contacted, notifying the partners, and ensuring testing and treatment</w:t>
      </w:r>
      <w:r w:rsidRPr="00A8553C">
        <w:t xml:space="preserve">. At each step there may be </w:t>
      </w:r>
      <w:r>
        <w:t>a reduction in the proportion of sex partners that is reached. Effective PN should retain as many index patients and partners as possible</w:t>
      </w:r>
      <w:r w:rsidRPr="00A8553C">
        <w:t xml:space="preserve"> </w:t>
      </w:r>
      <w:r>
        <w:t>throughout the cascade</w:t>
      </w:r>
      <w:r w:rsidRPr="00A8553C">
        <w:t xml:space="preserve">. </w:t>
      </w:r>
    </w:p>
    <w:p w14:paraId="3E4FAF95" w14:textId="77777777" w:rsidR="00707197" w:rsidRPr="00537A22" w:rsidRDefault="00707197" w:rsidP="00707197">
      <w:pPr>
        <w:spacing w:line="360" w:lineRule="auto"/>
        <w:rPr>
          <w:rFonts w:eastAsia="Times New Roman"/>
          <w:b/>
          <w:bCs/>
          <w:bdr w:val="none" w:sz="0" w:space="0" w:color="auto" w:frame="1"/>
          <w:lang w:eastAsia="en-GB"/>
        </w:rPr>
      </w:pPr>
      <w:r w:rsidRPr="00B76934">
        <w:rPr>
          <w:rFonts w:eastAsia="Times New Roman"/>
          <w:b/>
          <w:bCs/>
          <w:bdr w:val="none" w:sz="0" w:space="0" w:color="auto" w:frame="1"/>
          <w:lang w:eastAsia="en-GB"/>
        </w:rPr>
        <w:t>Figure 1. The partner notification cascade, and outcome measures for bacterial sexually transmitted infections for evaluation of STI services in the in the UK</w:t>
      </w:r>
    </w:p>
    <w:p w14:paraId="120FBA01" w14:textId="77777777" w:rsidR="00707197" w:rsidRDefault="00707197" w:rsidP="00707197">
      <w:pPr>
        <w:spacing w:line="360" w:lineRule="auto"/>
        <w:jc w:val="left"/>
      </w:pPr>
      <w:r>
        <w:t>S</w:t>
      </w:r>
      <w:r w:rsidRPr="00671C1B">
        <w:t>tandards</w:t>
      </w:r>
      <w:r>
        <w:t xml:space="preserve"> used</w:t>
      </w:r>
      <w:r w:rsidRPr="00671C1B">
        <w:t xml:space="preserve"> </w:t>
      </w:r>
      <w:r>
        <w:t>to</w:t>
      </w:r>
      <w:r w:rsidRPr="00671C1B">
        <w:t xml:space="preserve"> monitoring PN outcome</w:t>
      </w:r>
      <w:r>
        <w:t>s</w:t>
      </w:r>
      <w:r w:rsidRPr="00671C1B">
        <w:t xml:space="preserve"> </w:t>
      </w:r>
      <w:r>
        <w:t xml:space="preserve">should </w:t>
      </w:r>
      <w:r w:rsidRPr="00671C1B">
        <w:t xml:space="preserve">address all steps in the PN cascade and </w:t>
      </w:r>
      <w:r>
        <w:t xml:space="preserve">should </w:t>
      </w:r>
      <w:r w:rsidRPr="00671C1B">
        <w:t>consider key factors that affect PN outcomes.</w:t>
      </w:r>
      <w:r>
        <w:t xml:space="preserve"> In the United Kingdom (UK), the British Association for Sexual Health and HIV (</w:t>
      </w:r>
      <w:r w:rsidRPr="00537A22">
        <w:t xml:space="preserve">BASHH) has published standards for PN for bacterial STI, with auditable outcome measures </w:t>
      </w:r>
      <w:r w:rsidRPr="00537A22">
        <w:fldChar w:fldCharType="begin" w:fldLock="1"/>
      </w:r>
      <w:r w:rsidRPr="00537A22">
        <w:instrText>ADDIN CSL_CITATION {"citationItems":[{"id":"ITEM-1","itemData":{"DOI":"10.1177/0956462412472804","author":[{"dropping-particle":"","family":"Mcclean Frcp","given":"H","non-dropping-particle":"","parse-names":false,"suffix":""},{"dropping-particle":"","family":"Radcliffe","given":"K","non-dropping-particle":"","parse-names":false,"suffix":""},{"dropping-particle":"","family":"Frcp","given":"M A","non-dropping-particle":"","parse-names":false,"suffix":""},{"dropping-particle":"","family":"Sullivan","given":"A","non-dropping-particle":"","parse-names":false,"suffix":""},{"dropping-particle":"","family":"Frcp","given":"M D","non-dropping-particle":"","parse-names":false,"suffix":""},{"dropping-particle":"","family":"Ahmed-Jushuf","given":"I","non-dropping-particle":"","parse-names":false,"suffix":""},{"dropping-particle":"","family":"Mba","given":"Frcp","non-dropping-particle":"","parse-names":false,"suffix":""}],"id":"ITEM-1","issued":{"date-parts":[["0"]]},"title":"2012 BASHH statement on partner notification for sexually transmissible infections","type":"article-journal"},"uris":["http://www.mendeley.com/documents/?uuid=5637111f-3b19-331c-9cd8-3a94e91ec824"]},{"id":"ITEM-2","itemData":{"author":[{"dropping-particle":"","family":"British Association for Sexual Health and HIV","given":"","non-dropping-particle":"","parse-names":false,"suffix":""}],"id":"ITEM-2","issue":"April","issued":{"date-parts":[["2019"]]},"title":"Standards for the management of sexually transmitted infections (STIs)","type":"article-journal"},"uris":["http://www.mendeley.com/documents/?uuid=05fa17e5-1984-480e-a354-3dda67b04a49"]}],"mendeley":{"formattedCitation":"(2,3)","plainTextFormattedCitation":"(2,3)","previouslyFormattedCitation":"(2,3)"},"properties":{"noteIndex":0},"schema":"https://github.com/citation-style-language/schema/raw/master/csl-citation.json"}</w:instrText>
      </w:r>
      <w:r w:rsidRPr="00537A22">
        <w:fldChar w:fldCharType="separate"/>
      </w:r>
      <w:r w:rsidRPr="00537A22">
        <w:rPr>
          <w:noProof/>
        </w:rPr>
        <w:t>(2,3)</w:t>
      </w:r>
      <w:r w:rsidRPr="00537A22">
        <w:fldChar w:fldCharType="end"/>
      </w:r>
      <w:r>
        <w:t xml:space="preserve">, </w:t>
      </w:r>
      <w:r w:rsidRPr="00537A22">
        <w:t>last updated in 2012. Figure 1 shows the</w:t>
      </w:r>
      <w:r>
        <w:t>se</w:t>
      </w:r>
      <w:r w:rsidRPr="00537A22">
        <w:t xml:space="preserve"> established outcome measures for PN services, which cover only the first three stages of the cascade. Th</w:t>
      </w:r>
      <w:r>
        <w:t>eir</w:t>
      </w:r>
      <w:r w:rsidRPr="00537A22">
        <w:t xml:space="preserve"> partial coverage of the PN cascade limits our understanding of the effectiveness of PN services as it does not include outcome measures for processes involved in the testing and treatment of sex partners</w:t>
      </w:r>
      <w:r w:rsidRPr="00537A22">
        <w:rPr>
          <w:szCs w:val="24"/>
        </w:rPr>
        <w:t>.</w:t>
      </w:r>
      <w:bookmarkStart w:id="1" w:name="_Toc15394632"/>
      <w:r w:rsidRPr="00537A22">
        <w:t xml:space="preserve"> </w:t>
      </w:r>
    </w:p>
    <w:p w14:paraId="005F67CC" w14:textId="77777777" w:rsidR="00707197" w:rsidRPr="00FB6D71" w:rsidRDefault="00707197" w:rsidP="00707197">
      <w:pPr>
        <w:spacing w:line="360" w:lineRule="auto"/>
        <w:jc w:val="left"/>
      </w:pPr>
      <w:r>
        <w:t xml:space="preserve">In this Perspective article, we </w:t>
      </w:r>
      <w:r w:rsidRPr="00537A22">
        <w:t xml:space="preserve">describe the process of evidence gathering, deliberation and consensus-building to address these gaps in current PN </w:t>
      </w:r>
      <w:r>
        <w:t xml:space="preserve">outcome measures and </w:t>
      </w:r>
      <w:r w:rsidRPr="00537A22">
        <w:t>standards for bacterial STI</w:t>
      </w:r>
      <w:r>
        <w:t>,</w:t>
      </w:r>
      <w:r w:rsidRPr="00537A22">
        <w:t xml:space="preserve"> and to provide recommendations for future PN services.</w:t>
      </w:r>
      <w:r w:rsidRPr="00FB6D71">
        <w:t xml:space="preserve">  </w:t>
      </w:r>
    </w:p>
    <w:p w14:paraId="671DAFC2" w14:textId="77777777" w:rsidR="00707197" w:rsidRPr="009D791B" w:rsidRDefault="00707197" w:rsidP="00707197">
      <w:pPr>
        <w:pStyle w:val="Heading2"/>
        <w:spacing w:line="360" w:lineRule="auto"/>
      </w:pPr>
      <w:r w:rsidRPr="009D791B">
        <w:lastRenderedPageBreak/>
        <w:t>The importance of partner type in partner notification outcomes</w:t>
      </w:r>
      <w:bookmarkEnd w:id="1"/>
    </w:p>
    <w:p w14:paraId="78EC9D96" w14:textId="77777777" w:rsidR="00707197" w:rsidRDefault="00707197" w:rsidP="00707197">
      <w:pPr>
        <w:spacing w:line="360" w:lineRule="auto"/>
        <w:jc w:val="left"/>
      </w:pPr>
      <w:r w:rsidRPr="00671C1B">
        <w:t>Sexual behaviours, including the type of sexual partnership(s), and the force of infection in the sexual network, influence individuals’ STI risk and their risk of onward STI transmission</w:t>
      </w:r>
      <w:r>
        <w:t xml:space="preserve"> </w:t>
      </w:r>
      <w:r>
        <w:fldChar w:fldCharType="begin" w:fldLock="1"/>
      </w:r>
      <w:r>
        <w:instrText>ADDIN CSL_CITATION {"citationItems":[{"id":"ITEM-1","itemData":{"DOI":"10.1136/sextrans-2016-052646","ISSN":"14723263","PMID":"27535765","abstract":"Background Partnership type is a determinant of STI risk; yet, it is poorly and inconsistently recorded in clinical practice and research. We identify a novel, empirical-based categorisation of partnership type, and examine whether reporting STI diagnoses varies by the resulting typologies. Methods Analyses of probability survey data collected from 15162 people aged 16-74 who participated in Britain's third National Survey of Sexual Attitudes and Lifestyles were undertaken during 2010-2012. Computer-assisted self-interviews asked about participants' ≤3 most recent partners (N=14322 partners/past year). Analysis of variance and regression tested for differences in partnership duration and perceived likelihood of sex again across 21 'partnership progression types' (PPTs) derived from relationship status at first and most recent sex. Multivariable regression examined the association between reporting STI diagnoses and partnership type(s) net of age and reported partner numbers (all past year). Results The 21 PPTs were grouped into four summary types: 'cohabiting', 'now steady', 'casual' and 'ex-steady' according to the average duration and likelihood of sex again. 11 combinations of these summary types accounted for 94.5% of all men; 13 combinations accounted for 96.9% of all women. Reporting STI diagnoses varied by partnership-type combination, including after adjusting for age and partner numbers, for example, adjusted OR: 6.03 (95% CI 2.01 to 18.1) for men with two 'casual' and one 'now steady' partners versus men with one 'cohabiting' partner. Conclusions This typology provides an objective method for measuring partnership type and demonstrates its importance in understanding STI risk, net of partner numbers. Epidemiological research and clinical practice should use these methods and results to maximise individual and public health benefit.","author":[{"dropping-particle":"","family":"Mercer","given":"C. H.","non-dropping-particle":"","parse-names":false,"suffix":""},{"dropping-particle":"","family":"Jones","given":"K. G.","non-dropping-particle":"","parse-names":false,"suffix":""},{"dropping-particle":"","family":"Johnson","given":"A. M.","non-dropping-particle":"","parse-names":false,"suffix":""},{"dropping-particle":"","family":"Lewis","given":"R.","non-dropping-particle":"","parse-names":false,"suffix":""},{"dropping-particle":"","family":"Mitchell","given":"K. R.","non-dropping-particle":"","parse-names":false,"suffix":""},{"dropping-particle":"","family":"Gravningen","given":"K.","non-dropping-particle":"","parse-names":false,"suffix":""},{"dropping-particle":"","family":"Clifton","given":"S.","non-dropping-particle":"","parse-names":false,"suffix":""},{"dropping-particle":"","family":"Tanton","given":"C.","non-dropping-particle":"","parse-names":false,"suffix":""},{"dropping-particle":"","family":"Sonnenberg","given":"P.","non-dropping-particle":"","parse-names":false,"suffix":""},{"dropping-particle":"","family":"Wellings","given":"K.","non-dropping-particle":"","parse-names":false,"suffix":""},{"dropping-particle":"","family":"Cassell","given":"J. A.","non-dropping-particle":"","parse-names":false,"suffix":""},{"dropping-particle":"","family":"Estcourt","given":"C. S.","non-dropping-particle":"","parse-names":false,"suffix":""}],"container-title":"Sexually Transmitted Infections","id":"ITEM-1","issue":"2","issued":{"date-parts":[["2017"]]},"page":"129-136","title":"How can we objectively categorise partnership type? A novel classification of population survey data to inform epidemiological research and clinical practice","type":"article-journal","volume":"93"},"uris":["http://www.mendeley.com/documents/?uuid=4b777ca6-7ba2-4beb-b157-8780c33058ea"]}],"mendeley":{"formattedCitation":"(4)","plainTextFormattedCitation":"(4)","previouslyFormattedCitation":"(4)"},"properties":{"noteIndex":0},"schema":"https://github.com/citation-style-language/schema/raw/master/csl-citation.json"}</w:instrText>
      </w:r>
      <w:r>
        <w:fldChar w:fldCharType="separate"/>
      </w:r>
      <w:r w:rsidRPr="00B42448">
        <w:rPr>
          <w:noProof/>
        </w:rPr>
        <w:t>(4)</w:t>
      </w:r>
      <w:r>
        <w:fldChar w:fldCharType="end"/>
      </w:r>
      <w:r w:rsidRPr="00671C1B">
        <w:t>.</w:t>
      </w:r>
      <w:r w:rsidRPr="001302B8">
        <w:t xml:space="preserve"> </w:t>
      </w:r>
      <w:r w:rsidRPr="00671C1B">
        <w:t>PN is most effective in reducing STI transmission in a population if it reaches individuals whose sexual behaviours and/or partnerships increase their STI risk, and/or who are at greater risk of onward STI transmission in their sexual networks.</w:t>
      </w:r>
    </w:p>
    <w:p w14:paraId="2866723D" w14:textId="77777777" w:rsidR="00707197" w:rsidRDefault="00707197" w:rsidP="00707197">
      <w:pPr>
        <w:spacing w:line="360" w:lineRule="auto"/>
        <w:jc w:val="left"/>
      </w:pPr>
      <w:r>
        <w:rPr>
          <w:szCs w:val="24"/>
        </w:rPr>
        <w:t>C</w:t>
      </w:r>
      <w:r w:rsidRPr="0018181A">
        <w:rPr>
          <w:szCs w:val="24"/>
        </w:rPr>
        <w:t xml:space="preserve">urrent </w:t>
      </w:r>
      <w:r>
        <w:rPr>
          <w:szCs w:val="24"/>
        </w:rPr>
        <w:t xml:space="preserve">PN outcome measures do not differentiate between different partner types. </w:t>
      </w:r>
      <w:r w:rsidRPr="002818ED">
        <w:rPr>
          <w:szCs w:val="24"/>
        </w:rPr>
        <w:t>In the case of chlamydia</w:t>
      </w:r>
      <w:r>
        <w:rPr>
          <w:szCs w:val="24"/>
        </w:rPr>
        <w:t xml:space="preserve"> infection</w:t>
      </w:r>
      <w:r w:rsidRPr="002818ED">
        <w:rPr>
          <w:szCs w:val="24"/>
        </w:rPr>
        <w:t xml:space="preserve">, </w:t>
      </w:r>
      <w:r>
        <w:rPr>
          <w:szCs w:val="24"/>
        </w:rPr>
        <w:t xml:space="preserve">for example, </w:t>
      </w:r>
      <w:r w:rsidRPr="002818ED">
        <w:rPr>
          <w:szCs w:val="24"/>
        </w:rPr>
        <w:t>the UK specifie</w:t>
      </w:r>
      <w:r>
        <w:rPr>
          <w:szCs w:val="24"/>
        </w:rPr>
        <w:t xml:space="preserve">s as </w:t>
      </w:r>
      <w:r w:rsidRPr="00B46FCE">
        <w:rPr>
          <w:szCs w:val="24"/>
        </w:rPr>
        <w:t>a standard</w:t>
      </w:r>
      <w:r w:rsidRPr="00C15FDE">
        <w:rPr>
          <w:szCs w:val="24"/>
        </w:rPr>
        <w:t xml:space="preserve"> </w:t>
      </w:r>
      <w:r>
        <w:rPr>
          <w:szCs w:val="24"/>
        </w:rPr>
        <w:t xml:space="preserve">that </w:t>
      </w:r>
      <w:r w:rsidRPr="002818ED">
        <w:rPr>
          <w:szCs w:val="24"/>
        </w:rPr>
        <w:t xml:space="preserve">0.6 contacts per index case </w:t>
      </w:r>
      <w:r>
        <w:rPr>
          <w:szCs w:val="24"/>
        </w:rPr>
        <w:t xml:space="preserve">with </w:t>
      </w:r>
      <w:r w:rsidRPr="002818ED">
        <w:rPr>
          <w:szCs w:val="24"/>
        </w:rPr>
        <w:t xml:space="preserve">chlamydia </w:t>
      </w:r>
      <w:r>
        <w:rPr>
          <w:szCs w:val="24"/>
        </w:rPr>
        <w:t xml:space="preserve">should </w:t>
      </w:r>
      <w:r w:rsidRPr="002818ED">
        <w:rPr>
          <w:szCs w:val="24"/>
        </w:rPr>
        <w:t xml:space="preserve">access sexual healthcare </w:t>
      </w:r>
      <w:r>
        <w:rPr>
          <w:szCs w:val="24"/>
        </w:rPr>
        <w:t xml:space="preserve">service </w:t>
      </w:r>
      <w:r w:rsidRPr="002818ED">
        <w:rPr>
          <w:szCs w:val="24"/>
        </w:rPr>
        <w:t xml:space="preserve">within four weeks of </w:t>
      </w:r>
      <w:r>
        <w:rPr>
          <w:szCs w:val="24"/>
        </w:rPr>
        <w:t xml:space="preserve">the </w:t>
      </w:r>
      <w:r w:rsidRPr="002818ED">
        <w:rPr>
          <w:szCs w:val="24"/>
        </w:rPr>
        <w:t xml:space="preserve">date of </w:t>
      </w:r>
      <w:r>
        <w:rPr>
          <w:szCs w:val="24"/>
        </w:rPr>
        <w:t xml:space="preserve">the </w:t>
      </w:r>
      <w:r w:rsidRPr="002818ED">
        <w:rPr>
          <w:szCs w:val="24"/>
        </w:rPr>
        <w:t xml:space="preserve">first PN discussion. This standard </w:t>
      </w:r>
      <w:r>
        <w:rPr>
          <w:szCs w:val="24"/>
        </w:rPr>
        <w:t xml:space="preserve">is an average of outcomes for all sex partners, which </w:t>
      </w:r>
      <w:r w:rsidRPr="002818ED">
        <w:rPr>
          <w:szCs w:val="24"/>
        </w:rPr>
        <w:t xml:space="preserve">does not </w:t>
      </w:r>
      <w:r>
        <w:rPr>
          <w:szCs w:val="24"/>
        </w:rPr>
        <w:t xml:space="preserve">take into account differences between sex partner types that affect </w:t>
      </w:r>
      <w:r>
        <w:t xml:space="preserve">STI prevention at the population level </w:t>
      </w:r>
      <w:r>
        <w:fldChar w:fldCharType="begin" w:fldLock="1"/>
      </w:r>
      <w:r>
        <w:instrText>ADDIN CSL_CITATION {"citationItems":[{"id":"ITEM-1","itemData":{"author":[{"dropping-particle":"","family":"Anderson, RM. In: Wasserheit JN, Aral SO, Holmes KK, Hitchcock PJ","given":"editors.","non-dropping-particle":"","parse-names":false,"suffix":""}],"container-title":"The transmission dynamics of sexually transmitted diseases: the behavioral component.","id":"ITEM-1","issued":{"date-parts":[["1991"]]},"page":"38-60","publisher":"American Society for Microbiology","publisher-place":"Washington D.C.","title":"Research issues in human behavior and sexually transmitted diseases in the AIDS era","type":"chapter"},"uris":["http://www.mendeley.com/documents/?uuid=4f58863a-90f4-41e7-abec-8a7c484d7a95"]}],"mendeley":{"formattedCitation":"(5)","plainTextFormattedCitation":"(5)","previouslyFormattedCitation":"(5)"},"properties":{"noteIndex":0},"schema":"https://github.com/citation-style-language/schema/raw/master/csl-citation.json"}</w:instrText>
      </w:r>
      <w:r>
        <w:fldChar w:fldCharType="separate"/>
      </w:r>
      <w:r w:rsidRPr="00B42448">
        <w:rPr>
          <w:noProof/>
        </w:rPr>
        <w:t>(5)</w:t>
      </w:r>
      <w:r>
        <w:fldChar w:fldCharType="end"/>
      </w:r>
      <w:r>
        <w:t xml:space="preserve">. For example, a patient diagnosed with chlamydia may be highly motivated to undertake PN for an ongoing partnership, but less so for a partner with whom they have had sex only once. The latter type of partner could be considered a ‘high-value’ sex partner because they might be more likely to transmit infection to others yet less likely to receive treatment (step 5 of the PN cascade) than an ongoing partner </w:t>
      </w:r>
      <w:r>
        <w:fldChar w:fldCharType="begin" w:fldLock="1"/>
      </w:r>
      <w:r>
        <w:instrText>ADDIN CSL_CITATION {"citationItems":[{"id":"ITEM-1","itemData":{"author":[{"dropping-particle":"","family":"Anderson, RM. In: Wasserheit JN, Aral SO, Holmes KK, Hitchcock PJ","given":"editors.","non-dropping-particle":"","parse-names":false,"suffix":""}],"container-title":"The transmission dynamics of sexually transmitted diseases: the behavioral component.","id":"ITEM-1","issued":{"date-parts":[["1991"]]},"page":"38-60","publisher":"American Society for Microbiology","publisher-place":"Washington D.C.","title":"Research issues in human behavior and sexually transmitted diseases in the AIDS era","type":"chapter"},"uris":["http://www.mendeley.com/documents/?uuid=4f58863a-90f4-41e7-abec-8a7c484d7a95"]}],"mendeley":{"formattedCitation":"(5)","plainTextFormattedCitation":"(5)","previouslyFormattedCitation":"(5)"},"properties":{"noteIndex":0},"schema":"https://github.com/citation-style-language/schema/raw/master/csl-citation.json"}</w:instrText>
      </w:r>
      <w:r>
        <w:fldChar w:fldCharType="separate"/>
      </w:r>
      <w:r w:rsidRPr="00B42448">
        <w:rPr>
          <w:noProof/>
        </w:rPr>
        <w:t>(5)</w:t>
      </w:r>
      <w:r>
        <w:fldChar w:fldCharType="end"/>
      </w:r>
      <w:r>
        <w:t xml:space="preserve">. In this case, a clinic can achieve the performance standard, but it cannot assess the extent to which high-value sex partners have been reached. </w:t>
      </w:r>
    </w:p>
    <w:p w14:paraId="7D39539E" w14:textId="77777777" w:rsidR="00707197" w:rsidRDefault="00707197" w:rsidP="00707197">
      <w:pPr>
        <w:spacing w:line="360" w:lineRule="auto"/>
      </w:pPr>
      <w:r>
        <w:t xml:space="preserve">Analysis of data from the UK’s National Survey of Sexual Attitudes and Lifestyles have shown that sexual partnership type is associated with the probability of a recent STI diagnosis </w:t>
      </w:r>
      <w:r>
        <w:fldChar w:fldCharType="begin" w:fldLock="1"/>
      </w:r>
      <w:r>
        <w:instrText>ADDIN CSL_CITATION {"citationItems":[{"id":"ITEM-1","itemData":{"DOI":"10.1136/sextrans-2016-052646","ISSN":"14723263","PMID":"27535765","abstract":"Background Partnership type is a determinant of STI risk; yet, it is poorly and inconsistently recorded in clinical practice and research. We identify a novel, empirical-based categorisation of partnership type, and examine whether reporting STI diagnoses varies by the resulting typologies. Methods Analyses of probability survey data collected from 15162 people aged 16-74 who participated in Britain's third National Survey of Sexual Attitudes and Lifestyles were undertaken during 2010-2012. Computer-assisted self-interviews asked about participants' ≤3 most recent partners (N=14322 partners/past year). Analysis of variance and regression tested for differences in partnership duration and perceived likelihood of sex again across 21 'partnership progression types' (PPTs) derived from relationship status at first and most recent sex. Multivariable regression examined the association between reporting STI diagnoses and partnership type(s) net of age and reported partner numbers (all past year). Results The 21 PPTs were grouped into four summary types: 'cohabiting', 'now steady', 'casual' and 'ex-steady' according to the average duration and likelihood of sex again. 11 combinations of these summary types accounted for 94.5% of all men; 13 combinations accounted for 96.9% of all women. Reporting STI diagnoses varied by partnership-type combination, including after adjusting for age and partner numbers, for example, adjusted OR: 6.03 (95% CI 2.01 to 18.1) for men with two 'casual' and one 'now steady' partners versus men with one 'cohabiting' partner. Conclusions This typology provides an objective method for measuring partnership type and demonstrates its importance in understanding STI risk, net of partner numbers. Epidemiological research and clinical practice should use these methods and results to maximise individual and public health benefit.","author":[{"dropping-particle":"","family":"Mercer","given":"C. H.","non-dropping-particle":"","parse-names":false,"suffix":""},{"dropping-particle":"","family":"Jones","given":"K. G.","non-dropping-particle":"","parse-names":false,"suffix":""},{"dropping-particle":"","family":"Johnson","given":"A. M.","non-dropping-particle":"","parse-names":false,"suffix":""},{"dropping-particle":"","family":"Lewis","given":"R.","non-dropping-particle":"","parse-names":false,"suffix":""},{"dropping-particle":"","family":"Mitchell","given":"K. R.","non-dropping-particle":"","parse-names":false,"suffix":""},{"dropping-particle":"","family":"Gravningen","given":"K.","non-dropping-particle":"","parse-names":false,"suffix":""},{"dropping-particle":"","family":"Clifton","given":"S.","non-dropping-particle":"","parse-names":false,"suffix":""},{"dropping-particle":"","family":"Tanton","given":"C.","non-dropping-particle":"","parse-names":false,"suffix":""},{"dropping-particle":"","family":"Sonnenberg","given":"P.","non-dropping-particle":"","parse-names":false,"suffix":""},{"dropping-particle":"","family":"Wellings","given":"K.","non-dropping-particle":"","parse-names":false,"suffix":""},{"dropping-particle":"","family":"Cassell","given":"J. A.","non-dropping-particle":"","parse-names":false,"suffix":""},{"dropping-particle":"","family":"Estcourt","given":"C. S.","non-dropping-particle":"","parse-names":false,"suffix":""}],"container-title":"Sexually Transmitted Infections","id":"ITEM-1","issue":"2","issued":{"date-parts":[["2017"]]},"page":"129-136","title":"How can we objectively categorise partnership type? A novel classification of population survey data to inform epidemiological research and clinical practice","type":"article-journal","volume":"93"},"uris":["http://www.mendeley.com/documents/?uuid=4b777ca6-7ba2-4beb-b157-8780c33058ea"]}],"mendeley":{"formattedCitation":"(4)","plainTextFormattedCitation":"(4)","previouslyFormattedCitation":"(4)"},"properties":{"noteIndex":0},"schema":"https://github.com/citation-style-language/schema/raw/master/csl-citation.json"}</w:instrText>
      </w:r>
      <w:r>
        <w:fldChar w:fldCharType="separate"/>
      </w:r>
      <w:r w:rsidRPr="00B42448">
        <w:rPr>
          <w:noProof/>
        </w:rPr>
        <w:t>(4)</w:t>
      </w:r>
      <w:r>
        <w:fldChar w:fldCharType="end"/>
      </w:r>
      <w:r>
        <w:t xml:space="preserve">. This evidence supports the hypothesis that different approaches to PN targeting  different types of sex partners could enhance its effectiveness and reduce STI transmission at a population level </w:t>
      </w:r>
      <w:r>
        <w:fldChar w:fldCharType="begin" w:fldLock="1"/>
      </w:r>
      <w:r>
        <w:instrText>ADDIN CSL_CITATION {"citationItems":[{"id":"ITEM-1","itemData":{"DOI":"10.2105/AJPH.2011.300211","ISSN":"15410048","abstract":"Objectives. We present the first evidence-based method for estimating public health and cost impacts of partner notification (PN) that takes account of sexual partnership type. Methods. Our algorithm uses routine clinical data, probability survey data, and transmission parameters. We propose 2 new epidemiological concepts to quantify PN impact: \"[the] absolute reduction in onward transmission\" and its reciprocal, \"[the] number needed to treat to interrupt transmission\" (i.e., the number of partners who need to be treated to interrupt 1 onward transmission). We demonstrate these concepts for 273 chlamydia cases diagnosed at a UK genitourinary medicine clinic. Results. The number needed to treat to interrupt transmission (overall, for casual partners, and for regular partners, respectively) was 1.47, 1.11, and 2.50, respectively, for men younger than 25 years; 1.60, 0.83, and 1.25, respectively, for women younger than 25 years; 2.35, 1.39, and 2.08, respectively, for men older than 25 years; and 2.14, 0.93, and 2.08, respectively, for women older than 25 years. Conclusions. PN that targets casual partners, rather than regular or live-in partners, prevents more secondary transmissions per partnership; it is also more resource intensive, but the public health benefit is greater.","author":[{"dropping-particle":"","family":"Mercer","given":"Catherine H.","non-dropping-particle":"","parse-names":false,"suffix":""},{"dropping-particle":"","family":"Aicken","given":"Catherine R.H.","non-dropping-particle":"","parse-names":false,"suffix":""},{"dropping-particle":"","family":"Brook","given":"M. Gary","non-dropping-particle":"","parse-names":false,"suffix":""},{"dropping-particle":"","family":"Estcourt","given":"Claudia S.","non-dropping-particle":"","parse-names":false,"suffix":""},{"dropping-particle":"","family":"Cassell","given":"Jackie A.","non-dropping-particle":"","parse-names":false,"suffix":""}],"container-title":"American Journal of Public Health","id":"ITEM-1","issue":"11","issued":{"date-parts":[["2011"]]},"page":"2117-2123","title":"Estimating the likely public health impact of partner notification for a clinical service: An evidence-based algorithm","type":"article-journal","volume":"101"},"uris":["http://www.mendeley.com/documents/?uuid=37fd7c50-a983-491d-9af0-fc961fbd6714"]}],"mendeley":{"formattedCitation":"(6)","plainTextFormattedCitation":"(6)","previouslyFormattedCitation":"(6)"},"properties":{"noteIndex":0},"schema":"https://github.com/citation-style-language/schema/raw/master/csl-citation.json"}</w:instrText>
      </w:r>
      <w:r>
        <w:fldChar w:fldCharType="separate"/>
      </w:r>
      <w:r w:rsidRPr="006C7667">
        <w:rPr>
          <w:noProof/>
        </w:rPr>
        <w:t>(6)</w:t>
      </w:r>
      <w:r>
        <w:fldChar w:fldCharType="end"/>
      </w:r>
      <w:r>
        <w:t xml:space="preserve">. Though this insight is recognised informally in UK guidance, it has not yet been incorporated into PN outcome measures. For example, sexual health history taking guidelines </w:t>
      </w:r>
      <w:r>
        <w:fldChar w:fldCharType="begin" w:fldLock="1"/>
      </w:r>
      <w:r>
        <w:instrText>ADDIN CSL_CITATION {"citationItems":[{"id":"ITEM-1","itemData":{"DOI":"10.1177/0956462413512807","ISBN":"0956462413","ISSN":"1758-1052","PMID":"24285601","abstract":"This guideline is an update of a previous version pub-lished in 2006. In this new version, we have reflected changes in the way sexual health services are now pro-vided by adding an expanded section on integrated STI/ contraception services and a new section on outreach services. We have also expanded the sections on elec-tronic patient records and the use of technology in sexual history taking. The other sections have been updated to reflect new evidence and practice.","author":[{"dropping-particle":"","family":"Brook","given":"Gary","non-dropping-particle":"","parse-names":false,"suffix":""},{"dropping-particle":"","family":"Bacon","given":"Lesley","non-dropping-particle":"","parse-names":false,"suffix":""},{"dropping-particle":"","family":"Evans","given":"Ceri","non-dropping-particle":"","parse-names":false,"suffix":""},{"dropping-particle":"","family":"McClean","given":"Hugo","non-dropping-particle":"","parse-names":false,"suffix":""},{"dropping-particle":"","family":"Roberts","given":"Colin","non-dropping-particle":"","parse-names":false,"suffix":""},{"dropping-particle":"","family":"Tipple","given":"Craig","non-dropping-particle":"","parse-names":false,"suffix":""},{"dropping-particle":"","family":"Winter","given":"Andrew J","non-dropping-particle":"","parse-names":false,"suffix":""},{"dropping-particle":"","family":"Sullivan","given":"Ann K","non-dropping-particle":"","parse-names":false,"suffix":""}],"container-title":"International journal of STD &amp; AIDS","id":"ITEM-1","issue":"6","issued":{"date-parts":[["2014"]]},"page":"391-404","title":"2013 UK national guideline for consultations requiring sexual history taking.","type":"article-journal","volume":"25"},"uris":["http://www.mendeley.com/documents/?uuid=a368b78d-a17f-4266-bf7e-54b6f3b2b9e0"]}],"mendeley":{"formattedCitation":"(7)","plainTextFormattedCitation":"(7)","previouslyFormattedCitation":"(7)"},"properties":{"noteIndex":0},"schema":"https://github.com/citation-style-language/schema/raw/master/csl-citation.json"}</w:instrText>
      </w:r>
      <w:r>
        <w:fldChar w:fldCharType="separate"/>
      </w:r>
      <w:r w:rsidRPr="006C7667">
        <w:rPr>
          <w:noProof/>
        </w:rPr>
        <w:t>(7)</w:t>
      </w:r>
      <w:r>
        <w:fldChar w:fldCharType="end"/>
      </w:r>
      <w:r>
        <w:t xml:space="preserve"> recognise the relevance of partnership type, recommending that an </w:t>
      </w:r>
      <w:r w:rsidRPr="003F27F0">
        <w:t xml:space="preserve">index </w:t>
      </w:r>
      <w:r>
        <w:t xml:space="preserve">patient should be asked </w:t>
      </w:r>
      <w:r w:rsidRPr="003F27F0">
        <w:t xml:space="preserve">about their </w:t>
      </w:r>
      <w:r>
        <w:t>l</w:t>
      </w:r>
      <w:r w:rsidRPr="003F27F0">
        <w:t xml:space="preserve">ast </w:t>
      </w:r>
      <w:r>
        <w:t>s</w:t>
      </w:r>
      <w:r w:rsidRPr="003F27F0">
        <w:t xml:space="preserve">exual </w:t>
      </w:r>
      <w:r>
        <w:t>c</w:t>
      </w:r>
      <w:r w:rsidRPr="003F27F0">
        <w:t>ontact</w:t>
      </w:r>
      <w:r>
        <w:t xml:space="preserve"> or</w:t>
      </w:r>
      <w:r w:rsidRPr="003F27F0">
        <w:t xml:space="preserve"> </w:t>
      </w:r>
      <w:r>
        <w:t>a p</w:t>
      </w:r>
      <w:r w:rsidRPr="003F27F0">
        <w:t xml:space="preserve">revious sex partner (if less than </w:t>
      </w:r>
      <w:r>
        <w:t>three</w:t>
      </w:r>
      <w:r w:rsidRPr="003F27F0">
        <w:t xml:space="preserve"> months before </w:t>
      </w:r>
      <w:r>
        <w:t>the last sexual contact</w:t>
      </w:r>
      <w:r w:rsidRPr="003F27F0">
        <w:t>)</w:t>
      </w:r>
      <w:r>
        <w:t>. Clinicians are asked to assess the</w:t>
      </w:r>
      <w:r w:rsidRPr="003F27F0">
        <w:t xml:space="preserve"> </w:t>
      </w:r>
      <w:r>
        <w:t>type of partnership</w:t>
      </w:r>
      <w:r w:rsidRPr="003F27F0">
        <w:t xml:space="preserve"> with </w:t>
      </w:r>
      <w:r>
        <w:t>sex</w:t>
      </w:r>
      <w:r w:rsidRPr="003F27F0">
        <w:t xml:space="preserve"> partners (</w:t>
      </w:r>
      <w:r>
        <w:t>in informal terms such as “</w:t>
      </w:r>
      <w:r w:rsidRPr="003F27F0">
        <w:t>live-in, regular, casual partner, etc.</w:t>
      </w:r>
      <w:r>
        <w:t>”</w:t>
      </w:r>
      <w:r w:rsidRPr="003F27F0">
        <w:t>), duration of the relationship</w:t>
      </w:r>
      <w:r>
        <w:t>,</w:t>
      </w:r>
      <w:r w:rsidRPr="003F27F0">
        <w:t xml:space="preserve"> and whether the partner could be contacted</w:t>
      </w:r>
      <w:r>
        <w:t xml:space="preserve"> </w:t>
      </w:r>
      <w:r w:rsidRPr="001F4CB9">
        <w:rPr>
          <w:noProof/>
        </w:rPr>
        <w:t>to facilitate PN</w:t>
      </w:r>
      <w:r>
        <w:rPr>
          <w:noProof/>
        </w:rPr>
        <w:t xml:space="preserve"> </w:t>
      </w:r>
      <w:r>
        <w:rPr>
          <w:noProof/>
        </w:rPr>
        <w:fldChar w:fldCharType="begin" w:fldLock="1"/>
      </w:r>
      <w:r>
        <w:rPr>
          <w:noProof/>
        </w:rPr>
        <w:instrText>ADDIN CSL_CITATION {"citationItems":[{"id":"ITEM-1","itemData":{"DOI":"10.1177/0956462413512807","ISBN":"0956462413","ISSN":"1758-1052","PMID":"24285601","abstract":"This guideline is an update of a previous version pub-lished in 2006. In this new version, we have reflected changes in the way sexual health services are now pro-vided by adding an expanded section on integrated STI/ contraception services and a new section on outreach services. We have also expanded the sections on elec-tronic patient records and the use of technology in sexual history taking. The other sections have been updated to reflect new evidence and practice.","author":[{"dropping-particle":"","family":"Brook","given":"Gary","non-dropping-particle":"","parse-names":false,"suffix":""},{"dropping-particle":"","family":"Bacon","given":"Lesley","non-dropping-particle":"","parse-names":false,"suffix":""},{"dropping-particle":"","family":"Evans","given":"Ceri","non-dropping-particle":"","parse-names":false,"suffix":""},{"dropping-particle":"","family":"McClean","given":"Hugo","non-dropping-particle":"","parse-names":false,"suffix":""},{"dropping-particle":"","family":"Roberts","given":"Colin","non-dropping-particle":"","parse-names":false,"suffix":""},{"dropping-particle":"","family":"Tipple","given":"Craig","non-dropping-particle":"","parse-names":false,"suffix":""},{"dropping-particle":"","family":"Winter","given":"Andrew J","non-dropping-particle":"","parse-names":false,"suffix":""},{"dropping-particle":"","family":"Sullivan","given":"Ann K","non-dropping-particle":"","parse-names":false,"suffix":""}],"container-title":"International journal of STD &amp; AIDS","id":"ITEM-1","issue":"6","issued":{"date-parts":[["2014"]]},"page":"391-404","title":"2013 UK national guideline for consultations requiring sexual history taking.","type":"article-journal","volume":"25"},"uris":["http://www.mendeley.com/documents/?uuid=a368b78d-a17f-4266-bf7e-54b6f3b2b9e0"]}],"mendeley":{"formattedCitation":"(7)","plainTextFormattedCitation":"(7)","previouslyFormattedCitation":"(7)"},"properties":{"noteIndex":0},"schema":"https://github.com/citation-style-language/schema/raw/master/csl-citation.json"}</w:instrText>
      </w:r>
      <w:r>
        <w:rPr>
          <w:noProof/>
        </w:rPr>
        <w:fldChar w:fldCharType="separate"/>
      </w:r>
      <w:r w:rsidRPr="006C7667">
        <w:rPr>
          <w:noProof/>
        </w:rPr>
        <w:t>(7)</w:t>
      </w:r>
      <w:r>
        <w:rPr>
          <w:noProof/>
        </w:rPr>
        <w:fldChar w:fldCharType="end"/>
      </w:r>
      <w:r w:rsidRPr="003F27F0">
        <w:t xml:space="preserve">. </w:t>
      </w:r>
      <w:r>
        <w:t>However, there are no established definitions of p</w:t>
      </w:r>
      <w:r w:rsidRPr="003F27F0">
        <w:t>artnership</w:t>
      </w:r>
      <w:r>
        <w:t xml:space="preserve"> types, and they do not play a part in specifying outcome measures for PN. </w:t>
      </w:r>
    </w:p>
    <w:p w14:paraId="1B49BCDA" w14:textId="77777777" w:rsidR="00707197" w:rsidRPr="003526D4" w:rsidRDefault="00707197" w:rsidP="00707197">
      <w:pPr>
        <w:pStyle w:val="Heading2"/>
        <w:spacing w:line="360" w:lineRule="auto"/>
      </w:pPr>
      <w:r>
        <w:lastRenderedPageBreak/>
        <w:t>D</w:t>
      </w:r>
      <w:r w:rsidRPr="009D791B">
        <w:t>evelop</w:t>
      </w:r>
      <w:r>
        <w:t>ment of updated PN outcome measures</w:t>
      </w:r>
    </w:p>
    <w:p w14:paraId="76DEB2C3" w14:textId="77777777" w:rsidR="00707197" w:rsidRDefault="00707197" w:rsidP="00707197">
      <w:pPr>
        <w:spacing w:line="360" w:lineRule="auto"/>
      </w:pPr>
      <w:r w:rsidRPr="007D2E57">
        <w:t>BASHH</w:t>
      </w:r>
      <w:r>
        <w:t xml:space="preserve"> commissioned a review and </w:t>
      </w:r>
      <w:r w:rsidRPr="00C15FDE">
        <w:t xml:space="preserve">update of </w:t>
      </w:r>
      <w:r w:rsidRPr="00B46FCE">
        <w:t xml:space="preserve">PN </w:t>
      </w:r>
      <w:r w:rsidRPr="00C15FDE">
        <w:t>outcome</w:t>
      </w:r>
      <w:r>
        <w:t xml:space="preserve"> measures and standards from the research team of the Limiting Undetected Sexually Transmitted Infections to RedUce Morbidity (LUSTRUM) programme.</w:t>
      </w:r>
      <w:r w:rsidRPr="007D2E57">
        <w:t xml:space="preserve"> </w:t>
      </w:r>
      <w:r>
        <w:t xml:space="preserve">LUSTRUM is a five-year programme of mixed methods research to improve PN methods, </w:t>
      </w:r>
      <w:proofErr w:type="gramStart"/>
      <w:r>
        <w:t>effectiveness</w:t>
      </w:r>
      <w:proofErr w:type="gramEnd"/>
      <w:r>
        <w:t xml:space="preserve"> and practice. The LUSTRUM study team includes experts in a range of disciplines including </w:t>
      </w:r>
      <w:r w:rsidRPr="00315A58">
        <w:t>clinical sexual health medicine, health psychology, qualitative research</w:t>
      </w:r>
      <w:r>
        <w:t>,</w:t>
      </w:r>
      <w:r w:rsidRPr="00315A58">
        <w:t xml:space="preserve"> epidemiology, statistics, health economics</w:t>
      </w:r>
      <w:r>
        <w:t xml:space="preserve"> and</w:t>
      </w:r>
      <w:r w:rsidRPr="00315A58">
        <w:t xml:space="preserve"> mathematical modelling</w:t>
      </w:r>
      <w:r>
        <w:t xml:space="preserve"> and includes members of the National Surveys of Sexual Attitudes and Lifestyles (</w:t>
      </w:r>
      <w:proofErr w:type="spellStart"/>
      <w:r>
        <w:t>Natsal</w:t>
      </w:r>
      <w:proofErr w:type="spellEnd"/>
      <w:r>
        <w:t>) study team.</w:t>
      </w:r>
      <w:r w:rsidRPr="00245B8A">
        <w:t xml:space="preserve"> </w:t>
      </w:r>
      <w:r>
        <w:t>The update was required to address PN outcomes which could be used to specify expected standards of care, and how these could be differentiated by sex partnership type.</w:t>
      </w:r>
    </w:p>
    <w:p w14:paraId="587CCC30" w14:textId="77777777" w:rsidR="00707197" w:rsidRDefault="00707197" w:rsidP="00707197">
      <w:pPr>
        <w:spacing w:line="360" w:lineRule="auto"/>
      </w:pPr>
      <w:r>
        <w:t>We undertook this update in three stages. First, we did two literature reviews to identify potential outcome measures for PN practice. We did a systematic review conducted on Medline, from 2011 until the 18 of December 2018,</w:t>
      </w:r>
      <w:r w:rsidRPr="00FF3FC6" w:rsidDel="00FF3FC6">
        <w:t xml:space="preserve"> </w:t>
      </w:r>
      <w:r w:rsidRPr="00FF3FC6">
        <w:t>to identify and collate all outcome measures that have been used in</w:t>
      </w:r>
      <w:r>
        <w:t xml:space="preserve"> randomised controlled trials (RCTs) of PN internationally </w:t>
      </w:r>
      <w:r>
        <w:fldChar w:fldCharType="begin" w:fldLock="1"/>
      </w:r>
      <w:r>
        <w:instrText>ADDIN CSL_CITATION {"citationItems":[{"id":"ITEM-1","itemData":{"DOI":"10.1002/14651858.CD002843.pub2","ISSN":"1469493X","PMID":"24092529","abstract":"Background: Partner notification (PN) is the process whereby sexual partners of an index patient are informed of their exposure to a sexually transmitted infection (STI) and the need to obtain treatment. For the person (index patient) with a curable STI, PN aims to eradicate infection and prevent re-infection. For sexual partners, PN aims to identify and treat undiagnosed STIs. At the level of sexual networks and populations, the aim of PN is to interrupt chains of STI transmission. For people with viral STI, PN aims to identify undiagnosed infections, which can facilitate access for their sexual partners to treatment and help prevent transmission. Objectives: To assess the effects of different PN strategies in people with STI, including human immunodeficiency virus (HIV) infection. Search methods: We searched electronic databases (the Cochrane Central Register of Controlled Trials (CENTRAL), MEDLINE and EMBASE) without language restrictions. We scanned reference lists of potential studies and previous reviews and contacted experts in the field. We searched three trial registries. We conducted the most recent search on 31 August 2012. Selection criteria: Published or unpublished randomised controlled trials (RCTs) or quasi-RCTs comparing two or more PN strategies. Four main PN strategies were included: patient referral, expedited partner therapy, provider referral and contract referral. Patient referral means that the patient notifies their sexual partners, either with (enhanced patient referral) or without (simple patient referral) additional verbal or written support. In expedited partner therapy, the patient delivers medication or a prescription for medication to their partner(s) without the need for a medical examination of the partner. In provider referral, health service personnel notify the partners. In contract referral, the index patient is encouraged to notify partner, with the understanding that the partners will be contacted if they do not visit the health service by a certain date. Data collection and analysis: We analysed data according to paired partner referral strategies. We organised the comparisons first according to four main PN strategies (1. enhanced patient referral, 2. expedited partner therapy, 3. contract referral, 4. provider referral). We compared each main strategy with simple patient referral and then with each other, if trials were available. For continuous outcome measures, we calculated the mean difference (MD) with 95% …","author":[{"dropping-particle":"","family":"Ferreira","given":"Adel","non-dropping-particle":"","parse-names":false,"suffix":""},{"dropping-particle":"","family":"Young","given":"Taryn","non-dropping-particle":"","parse-names":false,"suffix":""},{"dropping-particle":"","family":"Mathews","given":"Catherine","non-dropping-particle":"","parse-names":false,"suffix":""},{"dropping-particle":"","family":"Zunza","given":"Moleen","non-dropping-particle":"","parse-names":false,"suffix":""},{"dropping-particle":"","family":"Low","given":"Nicola","non-dropping-particle":"","parse-names":false,"suffix":""}],"container-title":"Cochrane Database of Systematic Reviews","id":"ITEM-1","issue":"10","issued":{"date-parts":[["2013"]]},"title":"Strategies for partner notification for sexually transmitted infections, including HIV","type":"article-journal","volume":"2013"},"uris":["http://www.mendeley.com/documents/?uuid=d7765e62-1617-4287-a28c-7f0e28880b5a"]}],"mendeley":{"formattedCitation":"(8)","plainTextFormattedCitation":"(8)","previouslyFormattedCitation":"(8)"},"properties":{"noteIndex":0},"schema":"https://github.com/citation-style-language/schema/raw/master/csl-citation.json"}</w:instrText>
      </w:r>
      <w:r>
        <w:fldChar w:fldCharType="separate"/>
      </w:r>
      <w:r w:rsidRPr="001E611F">
        <w:rPr>
          <w:noProof/>
        </w:rPr>
        <w:t>(8)</w:t>
      </w:r>
      <w:r>
        <w:fldChar w:fldCharType="end"/>
      </w:r>
      <w:r>
        <w:t>. We then collated and reviewed the PN outcomes specified in PN guidelines in the following high-income English-speaking settings: UK, United States of America, Australasia (comprising </w:t>
      </w:r>
      <w:r w:rsidRPr="00754564">
        <w:t xml:space="preserve">Australia, New Zealand, neighbouring islands in the Pacific Ocean, and </w:t>
      </w:r>
      <w:r>
        <w:t xml:space="preserve">Papua </w:t>
      </w:r>
      <w:r w:rsidRPr="00754564">
        <w:t>New Guinea)</w:t>
      </w:r>
      <w:r>
        <w:t xml:space="preserve">, and Canada. </w:t>
      </w:r>
    </w:p>
    <w:p w14:paraId="46B23643" w14:textId="77777777" w:rsidR="00707197" w:rsidRDefault="00707197" w:rsidP="00707197">
      <w:pPr>
        <w:spacing w:line="360" w:lineRule="auto"/>
      </w:pPr>
      <w:r w:rsidRPr="00B46FCE">
        <w:t xml:space="preserve">Second, we drew on a classification of sex partner types, developed by researchers in the LUSTRUM programme, drawing on qualitative research and existing literature on partnership type </w:t>
      </w:r>
      <w:r w:rsidRPr="00B46FCE">
        <w:fldChar w:fldCharType="begin" w:fldLock="1"/>
      </w:r>
      <w:r>
        <w:instrText>ADDIN CSL_CITATION {"citationItems":[{"id":"ITEM-1","itemData":{"DOI":"10.1136/sextrans-2016-052646","ISSN":"14723263","PMID":"27535765","abstract":"Background Partnership type is a determinant of STI risk; yet, it is poorly and inconsistently recorded in clinical practice and research. We identify a novel, empirical-based categorisation of partnership type, and examine whether reporting STI diagnoses varies by the resulting typologies. Methods Analyses of probability survey data collected from 15162 people aged 16-74 who participated in Britain's third National Survey of Sexual Attitudes and Lifestyles were undertaken during 2010-2012. Computer-assisted self-interviews asked about participants' ≤3 most recent partners (N=14322 partners/past year). Analysis of variance and regression tested for differences in partnership duration and perceived likelihood of sex again across 21 'partnership progression types' (PPTs) derived from relationship status at first and most recent sex. Multivariable regression examined the association between reporting STI diagnoses and partnership type(s) net of age and reported partner numbers (all past year). Results The 21 PPTs were grouped into four summary types: 'cohabiting', 'now steady', 'casual' and 'ex-steady' according to the average duration and likelihood of sex again. 11 combinations of these summary types accounted for 94.5% of all men; 13 combinations accounted for 96.9% of all women. Reporting STI diagnoses varied by partnership-type combination, including after adjusting for age and partner numbers, for example, adjusted OR: 6.03 (95% CI 2.01 to 18.1) for men with two 'casual' and one 'now steady' partners versus men with one 'cohabiting' partner. Conclusions This typology provides an objective method for measuring partnership type and demonstrates its importance in understanding STI risk, net of partner numbers. Epidemiological research and clinical practice should use these methods and results to maximise individual and public health benefit.","author":[{"dropping-particle":"","family":"Mercer","given":"C. H.","non-dropping-particle":"","parse-names":false,"suffix":""},{"dropping-particle":"","family":"Jones","given":"K. G.","non-dropping-particle":"","parse-names":false,"suffix":""},{"dropping-particle":"","family":"Johnson","given":"A. M.","non-dropping-particle":"","parse-names":false,"suffix":""},{"dropping-particle":"","family":"Lewis","given":"R.","non-dropping-particle":"","parse-names":false,"suffix":""},{"dropping-particle":"","family":"Mitchell","given":"K. R.","non-dropping-particle":"","parse-names":false,"suffix":""},{"dropping-particle":"","family":"Gravningen","given":"K.","non-dropping-particle":"","parse-names":false,"suffix":""},{"dropping-particle":"","family":"Clifton","given":"S.","non-dropping-particle":"","parse-names":false,"suffix":""},{"dropping-particle":"","family":"Tanton","given":"C.","non-dropping-particle":"","parse-names":false,"suffix":""},{"dropping-particle":"","family":"Sonnenberg","given":"P.","non-dropping-particle":"","parse-names":false,"suffix":""},{"dropping-particle":"","family":"Wellings","given":"K.","non-dropping-particle":"","parse-names":false,"suffix":""},{"dropping-particle":"","family":"Cassell","given":"J. A.","non-dropping-particle":"","parse-names":false,"suffix":""},{"dropping-particle":"","family":"Estcourt","given":"C. S.","non-dropping-particle":"","parse-names":false,"suffix":""}],"container-title":"Sexually Transmitted Infections","id":"ITEM-1","issue":"2","issued":{"date-parts":[["2017"]]},"page":"129-136","title":"How can we objectively categorise partnership type? A novel classification of population survey data to inform epidemiological research and clinical practice","type":"article-journal","volume":"93"},"uris":["http://www.mendeley.com/documents/?uuid=4b777ca6-7ba2-4beb-b157-8780c33058ea"]},{"id":"ITEM-2","itemData":{"URL":"https://www.lustrum.org.uk/","accessed":{"date-parts":[["2020","5","4"]]},"id":"ITEM-2","issued":{"date-parts":[["0"]]},"title":"Welcome - LUSTRUM","type":"webpage"},"uris":["http://www.mendeley.com/documents/?uuid=96b20360-caa1-3324-b5ec-ea02fcddc5d5"]}],"mendeley":{"formattedCitation":"(4,9)","plainTextFormattedCitation":"(4,9)","previouslyFormattedCitation":"(4)"},"properties":{"noteIndex":0},"schema":"https://github.com/citation-style-language/schema/raw/master/csl-citation.json"}</w:instrText>
      </w:r>
      <w:r w:rsidRPr="00B46FCE">
        <w:fldChar w:fldCharType="separate"/>
      </w:r>
      <w:r w:rsidRPr="003346E9">
        <w:rPr>
          <w:noProof/>
        </w:rPr>
        <w:t>(4,9)</w:t>
      </w:r>
      <w:r w:rsidRPr="00B46FCE">
        <w:fldChar w:fldCharType="end"/>
      </w:r>
      <w:r w:rsidRPr="00B46FCE">
        <w:t>.</w:t>
      </w:r>
      <w:r w:rsidRPr="00F02A0A">
        <w:t xml:space="preserve"> </w:t>
      </w:r>
      <w:r>
        <w:t xml:space="preserve">The LUSTRUM team is already using the partnership classification in data collection and analysis of an </w:t>
      </w:r>
      <w:hyperlink r:id="rId11" w:history="1">
        <w:r w:rsidRPr="00F23AB9">
          <w:rPr>
            <w:rStyle w:val="Hyperlink"/>
          </w:rPr>
          <w:t>RCT</w:t>
        </w:r>
      </w:hyperlink>
      <w:r>
        <w:t xml:space="preserve"> of PN </w:t>
      </w:r>
      <w:r>
        <w:fldChar w:fldCharType="begin" w:fldLock="1"/>
      </w:r>
      <w:r>
        <w:instrText>ADDIN CSL_CITATION {"citationItems":[{"id":"ITEM-1","itemData":{"DOI":"10.1136/bmjopen-2019-034806","author":[{"dropping-particle":"","family":"Estcourt","given":"Claudia S","non-dropping-particle":"","parse-names":false,"suffix":""},{"dropping-particle":"","family":"Howarth","given":"Alison R","non-dropping-particle":"","parse-names":false,"suffix":""},{"dropping-particle":"","family":"Copas","given":"Andrew","non-dropping-particle":"","parse-names":false,"suffix":""},{"dropping-particle":"","family":"Low","given":"Nicola","non-dropping-particle":"","parse-names":false,"suffix":""},{"dropping-particle":"","family":"Mapp","given":"Fiona","non-dropping-particle":"","parse-names":false,"suffix":""},{"dropping-particle":"","family":"Owusu","given":"Melvina Woode","non-dropping-particle":"","parse-names":false,"suffix":""},{"dropping-particle":"","family":"Flowers","given":"Paul","non-dropping-particle":"","parse-names":false,"suffix":""},{"dropping-particle":"","family":"Roberts","given":"Tracy","non-dropping-particle":"","parse-names":false,"suffix":""},{"dropping-particle":"","family":"Mercer","given":"Catherine H","non-dropping-particle":"","parse-names":false,"suffix":""},{"dropping-particle":"","family":"Wayal","given":"Sonali","non-dropping-particle":"","parse-names":false,"suffix":""},{"dropping-particle":"","family":"Symonds","given":"Merle","non-dropping-particle":"","parse-names":false,"suffix":""},{"dropping-particle":"","family":"Nandwani","given":"Rak","non-dropping-particle":"","parse-names":false,"suffix":""},{"dropping-particle":"","family":"Saunders","given":"John","non-dropping-particle":"","parse-names":false,"suffix":""},{"dropping-particle":"","family":"Johnson","given":"Anne M","non-dropping-particle":"","parse-names":false,"suffix":""},{"dropping-particle":"","family":"Pothoulaki","given":"Maria","non-dropping-particle":"","parse-names":false,"suffix":""},{"dropping-particle":"","family":"Althaus","given":"Christian","non-dropping-particle":"","parse-names":false,"suffix":""},{"dropping-particle":"","family":"Pickering","given":"Karen","non-dropping-particle":"","parse-names":false,"suffix":""},{"dropping-particle":"","family":"Mckinnon","given":"Tamsin","non-dropping-particle":"","parse-names":false,"suffix":""},{"dropping-particle":"","family":"Brice","given":"Susannah","non-dropping-particle":"","parse-names":false,"suffix":""},{"dropping-particle":"","family":"Comer","given":"Alex","non-dropping-particle":"","parse-names":false,"suffix":""},{"dropping-particle":"","family":"Tostevin","given":"Anna","non-dropping-particle":"","parse-names":false,"suffix":""},{"dropping-particle":"","family":"Duby","given":"Chidubem (","non-dropping-particle":"","parse-names":false,"suffix":""},{"dropping-particle":"","family":"Ogwulu","given":")","non-dropping-particle":"","parse-names":false,"suffix":""},{"dropping-particle":"","family":"Vojt","given":"Gabriele","non-dropping-particle":"","parse-names":false,"suffix":""},{"dropping-particle":"","family":"Cassell","given":"Jackie A","non-dropping-particle":"","parse-names":false,"suffix":""}],"container-title":"BMJ Open","id":"ITEM-1","issued":{"date-parts":[["2020"]]},"page":"34806","title":"Accelerated partner therapy (APT) partner notification for people with Chlamydia trachomatis: protocol for the Limiting Undetected Sexually Transmitted infections to RedUce Morbidity (LUSTRUM) APT cross-over cluster randomised controlled trial","type":"article-journal","volume":"10"},"uris":["http://www.mendeley.com/documents/?uuid=eb502bfa-e01b-3968-91b6-76faa0a6b00f"]}],"mendeley":{"formattedCitation":"(10)","plainTextFormattedCitation":"(10)","previouslyFormattedCitation":"(10)"},"properties":{"noteIndex":0},"schema":"https://github.com/citation-style-language/schema/raw/master/csl-citation.json"}</w:instrText>
      </w:r>
      <w:r>
        <w:fldChar w:fldCharType="separate"/>
      </w:r>
      <w:r w:rsidRPr="001E611F">
        <w:rPr>
          <w:noProof/>
        </w:rPr>
        <w:t>(10)</w:t>
      </w:r>
      <w:r>
        <w:fldChar w:fldCharType="end"/>
      </w:r>
      <w:r w:rsidRPr="00C36D8E">
        <w:rPr>
          <w:b/>
          <w:bCs/>
        </w:rPr>
        <w:t>.</w:t>
      </w:r>
      <w:r>
        <w:t xml:space="preserve"> The underpinning primary and secondary research describing the process of development has been presented to scientific audiences, </w:t>
      </w:r>
      <w:r w:rsidRPr="003346E9">
        <w:t>pre-print</w:t>
      </w:r>
      <w:r>
        <w:t xml:space="preserve">ed, and is currently in the process of </w:t>
      </w:r>
      <w:r w:rsidRPr="00B46FCE">
        <w:t>submission for peer</w:t>
      </w:r>
      <w:r>
        <w:t xml:space="preserve"> </w:t>
      </w:r>
      <w:r w:rsidRPr="00B46FCE">
        <w:t>reviewed publication</w:t>
      </w:r>
      <w:r>
        <w:t xml:space="preserve"> </w:t>
      </w:r>
      <w:r>
        <w:fldChar w:fldCharType="begin" w:fldLock="1"/>
      </w:r>
      <w:r>
        <w:instrText>ADDIN CSL_CITATION {"citationItems":[{"id":"ITEM-1","itemData":{"author":[{"dropping-particle":"","family":"Pothoulaki","given":"Maria","non-dropping-particle":"","parse-names":false,"suffix":""},{"dropping-particle":"","family":"Vojt","given":"Gabriele","non-dropping-particle":"","parse-names":false,"suffix":""},{"dropping-particle":"","family":"Mapp","given":"Fiona","non-dropping-particle":"","parse-names":false,"suffix":""},{"dropping-particle":"","family":"Woode Owusu","given":"Melvina","non-dropping-particle":"","parse-names":false,"suffix":""},{"dropping-particle":"","family":"Flowers","given":"Paul","non-dropping-particle":"","parse-names":false,"suffix":""},{"dropping-particle":"","family":"Cassell","given":"Jackie A","non-dropping-particle":"","parse-names":false,"suffix":""},{"dropping-particle":"","family":"Mercer","given":"Catherine H","non-dropping-particle":"","parse-names":false,"suffix":""},{"dropping-particle":"","family":"Nandwani","given":"Rak","non-dropping-particle":"","parse-names":false,"suffix":""},{"dropping-particle":"","family":"Saunders","given":"John","non-dropping-particle":"","parse-names":false,"suffix":""},{"dropping-particle":"","family":"Symonds","given":"Merle","non-dropping-particle":"","parse-names":false,"suffix":""},{"dropping-particle":"","family":"Wayal","given":"Sonali","non-dropping-particle":"","parse-names":false,"suffix":""},{"dropping-particle":"","family":"Estcourt","given":"Claudia S","non-dropping-particle":"","parse-names":false,"suffix":""}],"id":"ITEM-1","issued":{"date-parts":[["2017"]]},"title":"The ‘lexicon of love’: Understanding types of relationships as primary contexts of STI transmission. Poster presentation at the British Association of Sexual Health and HIV Annual Conference 18-20th June 2017, Belfast, Northern Ireland.","type":"article"},"uris":["http://www.mendeley.com/documents/?uuid=c0cbb649-f96c-48b9-8744-158c655b17f5"]},{"id":"ITEM-2","itemData":{"DOI":"10.1101/2020.09.27.20202705","abstract":"Objectives: To develop a classification of sexual partner types for use in partner notification (PN) and other interventions to prevent sexually transmitted infections (STI). Methods: A four-step process: 1) an iterative synthesis of five sources of evidence: scoping review of social and health sciences literature on partner types; analysis of relationship types in dating apps; systematic review of PN intervention content; review of PN guidelines; qualitative interviews with public, patients and health professionals, to generate an initial comprehensive classification; 2) multidisciplinary clinical expert consultation to revise the classification; 3) piloting of the revised classification in sexual health clinics during a randomised controlled trial of PN; 4) application of the Theoretical Domains Framework (TDF) to identify index patients willingness to engage in PN for each partner type. Results: Five main partner types emerged from the evidence synthesis and consultation: Established partner, New partner, Occasional partner, One-off partner and Sex worker. The types differed across several dimensions, including likely perceptions of sexual exclusivity, likelihood of sex reoccurring between index patient and sex partner. Sexual health professionals found the classification easy to operationalise. During the trial, they assigned all 3288 partners described by 2223 index patients to a category. The TDF analysis suggested that the partner types might be associated with different risks of STI reinfection, onward transmission and index patients engagement with PN. Discussion: We developed an evidence-informed, useable classification of five sexual partner types to underpin PN practice and other STI prevention interventions. Analysis of biomedical, psychological and social factors that distinguish different partner types shows how each could warrant a tailored PN approach. This classification could facilitate the use of partner-centred outcomes. Additional studies are needed to determine the utility of the classification to improve measurement of the impact of PN strategies and help focus resources.\n\n### Competing Interest Statement\n\nThe authors have declared no competing interest.\n\n### Clinical Protocols\n\n&lt;https://bmjopen.bmj.com/content/10/3/e034806&gt;\n\n### Funding Statement\n\nThis work presents independent research funded by the National Institute for Health Research (NIHR) under its Programme Grants for Applied Research Programme (reference number RP-PG-06…","author":[{"dropping-particle":"","family":"Estcourt","given":"Claudia S","non-dropping-particle":"","parse-names":false,"suffix":""},{"dropping-particle":"","family":"Flowers","given":"Paul","non-dropping-particle":"","parse-names":false,"suffix":""},{"dropping-particle":"","family":"Cassell","given":"Jackie","non-dropping-particle":"","parse-names":false,"suffix":""},{"dropping-particle":"","family":"Pothoulaki","given":"Maria","non-dropping-particle":"","parse-names":false,"suffix":""},{"dropping-particle":"","family":"Vojt","given":"Gabriele","non-dropping-particle":"","parse-names":false,"suffix":""},{"dropping-particle":"","family":"Mapp","given":"Fiona","non-dropping-particle":"","parse-names":false,"suffix":""},{"dropping-particle":"","family":"Owusu","given":"Melvina Woode","non-dropping-particle":"","parse-names":false,"suffix":""},{"dropping-particle":"","family":"Low","given":"Nicola","non-dropping-particle":"","parse-names":false,"suffix":""},{"dropping-particle":"","family":"Saunders","given":"John","non-dropping-particle":"","parse-names":false,"suffix":""},{"dropping-particle":"","family":"Symonds","given":"Merle","non-dropping-particle":"","parse-names":false,"suffix":""},{"dropping-particle":"","family":"Howarth","given":"Alison R","non-dropping-particle":"","parse-names":false,"suffix":""},{"dropping-particle":"","family":"Wayal","given":"Sonali","non-dropping-particle":"","parse-names":false,"suffix":""},{"dropping-particle":"","family":"Nandwani","given":"Rak","non-dropping-particle":"","parse-names":false,"suffix":""},{"dropping-particle":"","family":"Brice","given":"Susie","non-dropping-particle":"","parse-names":false,"suffix":""},{"dropping-particle":"","family":"Comer","given":"Alex","non-dropping-particle":"","parse-names":false,"suffix":""},{"dropping-particle":"","family":"Johnson","given":"Anne M","non-dropping-particle":"","parse-names":false,"suffix":""},{"dropping-particle":"","family":"Mercer","given":"Catherine H","non-dropping-particle":"","parse-names":false,"suffix":""}],"container-title":"medRxiv","id":"ITEM-2","issued":{"date-parts":[["2020","9","28"]]},"page":"2020.09.27.20202705","publisher":"Cold Spring Harbor Laboratory Press","title":"Going beyond regular and casual: development of a classification of sexual partner types to enhance partner notification for sexually transmitted infections, a mixed methods approach","type":"article-journal"},"uris":["http://www.mendeley.com/documents/?uuid=43778371-9589-3449-954f-3a45f5dcdf16"]}],"mendeley":{"formattedCitation":"(11,12)","plainTextFormattedCitation":"(11,12)","previouslyFormattedCitation":"(11,12)"},"properties":{"noteIndex":0},"schema":"https://github.com/citation-style-language/schema/raw/master/csl-citation.json"}</w:instrText>
      </w:r>
      <w:r>
        <w:fldChar w:fldCharType="separate"/>
      </w:r>
      <w:r w:rsidRPr="003346E9">
        <w:rPr>
          <w:noProof/>
        </w:rPr>
        <w:t>(11,12)</w:t>
      </w:r>
      <w:r>
        <w:fldChar w:fldCharType="end"/>
      </w:r>
      <w:r>
        <w:t>.</w:t>
      </w:r>
    </w:p>
    <w:p w14:paraId="3DD8869A" w14:textId="77777777" w:rsidR="00707197" w:rsidRPr="00447B07" w:rsidRDefault="00707197" w:rsidP="00707197">
      <w:pPr>
        <w:pStyle w:val="Caption"/>
        <w:spacing w:line="360" w:lineRule="auto"/>
        <w:rPr>
          <w:b w:val="0"/>
          <w:bCs/>
        </w:rPr>
      </w:pPr>
      <w:r>
        <w:rPr>
          <w:b w:val="0"/>
          <w:bCs/>
        </w:rPr>
        <w:t xml:space="preserve">Third, </w:t>
      </w:r>
      <w:r w:rsidRPr="00447B07">
        <w:rPr>
          <w:b w:val="0"/>
          <w:bCs/>
        </w:rPr>
        <w:t xml:space="preserve">we undertook a modified Delphi process </w:t>
      </w:r>
      <w:r w:rsidRPr="00447B07">
        <w:rPr>
          <w:b w:val="0"/>
          <w:bCs/>
        </w:rPr>
        <w:fldChar w:fldCharType="begin" w:fldLock="1"/>
      </w:r>
      <w:r>
        <w:rPr>
          <w:b w:val="0"/>
          <w:bCs/>
        </w:rPr>
        <w:instrText>ADDIN CSL_CITATION {"citationItems":[{"id":"ITEM-1","itemData":{"DOI":"10.7275/pdz9-th90","author":[{"dropping-particle":"","family":"Hsu","given":"Chia-Chien","non-dropping-particle":"","parse-names":false,"suffix":""},{"dropping-particle":"","family":"Sandford","given":"Brian A","non-dropping-particle":"","parse-names":false,"suffix":""}],"container-title":"Practical Assessment, Research, and Evaluation","id":"ITEM-1","issued":{"date-parts":[["2007"]]},"page":"10","title":"The Delphi Technique: Making Sense of Consensus","type":"article-journal","volume":"12"},"uris":["http://www.mendeley.com/documents/?uuid=f8d9f264-1a2f-31ba-a3d5-ecbc9f9a952a"]}],"mendeley":{"formattedCitation":"(13)","plainTextFormattedCitation":"(13)","previouslyFormattedCitation":"(13)"},"properties":{"noteIndex":0},"schema":"https://github.com/citation-style-language/schema/raw/master/csl-citation.json"}</w:instrText>
      </w:r>
      <w:r w:rsidRPr="00447B07">
        <w:rPr>
          <w:b w:val="0"/>
          <w:bCs/>
        </w:rPr>
        <w:fldChar w:fldCharType="separate"/>
      </w:r>
      <w:r w:rsidRPr="00227FC9">
        <w:rPr>
          <w:b w:val="0"/>
          <w:bCs/>
          <w:noProof/>
        </w:rPr>
        <w:t>(13)</w:t>
      </w:r>
      <w:r w:rsidRPr="00447B07">
        <w:rPr>
          <w:b w:val="0"/>
          <w:bCs/>
        </w:rPr>
        <w:fldChar w:fldCharType="end"/>
      </w:r>
      <w:r w:rsidRPr="00447B07">
        <w:rPr>
          <w:b w:val="0"/>
          <w:bCs/>
        </w:rPr>
        <w:t xml:space="preserve"> to </w:t>
      </w:r>
      <w:r>
        <w:rPr>
          <w:b w:val="0"/>
          <w:bCs/>
        </w:rPr>
        <w:t xml:space="preserve">present the findings to experts, discuss the </w:t>
      </w:r>
      <w:r w:rsidRPr="00447B07">
        <w:rPr>
          <w:b w:val="0"/>
          <w:bCs/>
        </w:rPr>
        <w:t xml:space="preserve">results and </w:t>
      </w:r>
      <w:r>
        <w:rPr>
          <w:b w:val="0"/>
          <w:bCs/>
        </w:rPr>
        <w:t xml:space="preserve">to </w:t>
      </w:r>
      <w:r w:rsidRPr="00447B07">
        <w:rPr>
          <w:b w:val="0"/>
          <w:bCs/>
        </w:rPr>
        <w:t xml:space="preserve">reach a consensus on </w:t>
      </w:r>
      <w:r>
        <w:rPr>
          <w:b w:val="0"/>
          <w:bCs/>
        </w:rPr>
        <w:t xml:space="preserve">measurable </w:t>
      </w:r>
      <w:r w:rsidRPr="00447B07">
        <w:rPr>
          <w:b w:val="0"/>
          <w:bCs/>
        </w:rPr>
        <w:t>PN outcomes</w:t>
      </w:r>
      <w:r>
        <w:rPr>
          <w:b w:val="0"/>
          <w:bCs/>
        </w:rPr>
        <w:t xml:space="preserve"> covering all five stages of the </w:t>
      </w:r>
      <w:r w:rsidRPr="00447B07">
        <w:rPr>
          <w:b w:val="0"/>
          <w:bCs/>
        </w:rPr>
        <w:t>PN cascade and tak</w:t>
      </w:r>
      <w:r>
        <w:rPr>
          <w:b w:val="0"/>
          <w:bCs/>
        </w:rPr>
        <w:t>ing</w:t>
      </w:r>
      <w:r w:rsidRPr="00447B07">
        <w:rPr>
          <w:b w:val="0"/>
          <w:bCs/>
        </w:rPr>
        <w:t xml:space="preserve"> into account partnership type. </w:t>
      </w:r>
      <w:r>
        <w:rPr>
          <w:b w:val="0"/>
          <w:bCs/>
        </w:rPr>
        <w:t xml:space="preserve">In advance of these meetings, information on measurable PN outcomes was circulated to experts in order to facilitate discussion. </w:t>
      </w:r>
      <w:r w:rsidRPr="00447B07">
        <w:rPr>
          <w:b w:val="0"/>
          <w:bCs/>
        </w:rPr>
        <w:t>A first meeting</w:t>
      </w:r>
      <w:r>
        <w:rPr>
          <w:b w:val="0"/>
          <w:bCs/>
        </w:rPr>
        <w:t>, on March 27</w:t>
      </w:r>
      <w:r w:rsidRPr="00537A22">
        <w:rPr>
          <w:b w:val="0"/>
          <w:bCs/>
          <w:vertAlign w:val="superscript"/>
        </w:rPr>
        <w:t>th</w:t>
      </w:r>
      <w:r>
        <w:rPr>
          <w:b w:val="0"/>
          <w:bCs/>
        </w:rPr>
        <w:t xml:space="preserve"> 2019,</w:t>
      </w:r>
      <w:r w:rsidRPr="00447B07">
        <w:rPr>
          <w:b w:val="0"/>
          <w:bCs/>
        </w:rPr>
        <w:t xml:space="preserve"> brought together </w:t>
      </w:r>
      <w:r>
        <w:rPr>
          <w:b w:val="0"/>
          <w:bCs/>
        </w:rPr>
        <w:t xml:space="preserve">seven of the paper authors as a </w:t>
      </w:r>
      <w:r w:rsidRPr="00447B07">
        <w:rPr>
          <w:b w:val="0"/>
          <w:bCs/>
        </w:rPr>
        <w:t xml:space="preserve">multidisciplinary group of internal experts </w:t>
      </w:r>
      <w:r>
        <w:rPr>
          <w:b w:val="0"/>
          <w:bCs/>
        </w:rPr>
        <w:t xml:space="preserve">from the LUSTRUM team </w:t>
      </w:r>
      <w:r w:rsidRPr="00447B07">
        <w:rPr>
          <w:b w:val="0"/>
          <w:bCs/>
        </w:rPr>
        <w:t>to choose candidate PN auditable outcome measures from those identified during the literature</w:t>
      </w:r>
      <w:r>
        <w:rPr>
          <w:b w:val="0"/>
          <w:bCs/>
        </w:rPr>
        <w:t xml:space="preserve"> review</w:t>
      </w:r>
      <w:r w:rsidRPr="00447B07">
        <w:rPr>
          <w:b w:val="0"/>
          <w:bCs/>
        </w:rPr>
        <w:t xml:space="preserve">. This was followed by another meeting </w:t>
      </w:r>
      <w:r>
        <w:rPr>
          <w:b w:val="0"/>
          <w:bCs/>
        </w:rPr>
        <w:t>on May 8</w:t>
      </w:r>
      <w:r w:rsidRPr="00537A22">
        <w:rPr>
          <w:b w:val="0"/>
          <w:bCs/>
          <w:vertAlign w:val="superscript"/>
        </w:rPr>
        <w:t>th</w:t>
      </w:r>
      <w:r>
        <w:rPr>
          <w:b w:val="0"/>
          <w:bCs/>
        </w:rPr>
        <w:t xml:space="preserve"> 2019, </w:t>
      </w:r>
      <w:r w:rsidRPr="00447B07">
        <w:rPr>
          <w:b w:val="0"/>
          <w:bCs/>
        </w:rPr>
        <w:t xml:space="preserve">in which these experts were joined by </w:t>
      </w:r>
      <w:r>
        <w:rPr>
          <w:b w:val="0"/>
          <w:bCs/>
        </w:rPr>
        <w:t xml:space="preserve">a further seven </w:t>
      </w:r>
      <w:r w:rsidRPr="00447B07">
        <w:rPr>
          <w:b w:val="0"/>
          <w:bCs/>
        </w:rPr>
        <w:t xml:space="preserve">multidisciplinary external experts and stakeholders (see </w:t>
      </w:r>
      <w:r>
        <w:rPr>
          <w:b w:val="0"/>
          <w:bCs/>
        </w:rPr>
        <w:t xml:space="preserve">Supplement 1 </w:t>
      </w:r>
      <w:r w:rsidRPr="00447B07">
        <w:rPr>
          <w:b w:val="0"/>
          <w:bCs/>
        </w:rPr>
        <w:t xml:space="preserve">for </w:t>
      </w:r>
      <w:r>
        <w:rPr>
          <w:b w:val="0"/>
          <w:bCs/>
        </w:rPr>
        <w:t xml:space="preserve">meeting </w:t>
      </w:r>
      <w:r>
        <w:rPr>
          <w:b w:val="0"/>
          <w:bCs/>
        </w:rPr>
        <w:lastRenderedPageBreak/>
        <w:t xml:space="preserve">attendee </w:t>
      </w:r>
      <w:r w:rsidRPr="00447B07">
        <w:rPr>
          <w:b w:val="0"/>
          <w:bCs/>
        </w:rPr>
        <w:t>details)</w:t>
      </w:r>
      <w:r>
        <w:rPr>
          <w:b w:val="0"/>
          <w:bCs/>
        </w:rPr>
        <w:t>. D</w:t>
      </w:r>
      <w:r w:rsidRPr="00447B07">
        <w:rPr>
          <w:b w:val="0"/>
          <w:bCs/>
        </w:rPr>
        <w:t>uring</w:t>
      </w:r>
      <w:r>
        <w:rPr>
          <w:b w:val="0"/>
          <w:bCs/>
        </w:rPr>
        <w:t xml:space="preserve"> this meeting</w:t>
      </w:r>
      <w:r w:rsidRPr="00447B07">
        <w:rPr>
          <w:b w:val="0"/>
          <w:bCs/>
        </w:rPr>
        <w:t xml:space="preserve">, through a process of discussion and consensus building, a final set of optimal outcomes were chosen for final adoption into the BASHH PN national recommendations. </w:t>
      </w:r>
      <w:bookmarkStart w:id="2" w:name="_Ref7606464"/>
      <w:bookmarkStart w:id="3" w:name="_Toc7195568"/>
      <w:bookmarkStart w:id="4" w:name="_Toc11238680"/>
      <w:bookmarkStart w:id="5" w:name="_Toc7195326"/>
    </w:p>
    <w:bookmarkEnd w:id="2"/>
    <w:bookmarkEnd w:id="3"/>
    <w:bookmarkEnd w:id="4"/>
    <w:bookmarkEnd w:id="5"/>
    <w:p w14:paraId="36B088C1" w14:textId="77777777" w:rsidR="00707197" w:rsidRDefault="00707197" w:rsidP="00707197">
      <w:pPr>
        <w:spacing w:after="0" w:line="360" w:lineRule="auto"/>
        <w:rPr>
          <w:rFonts w:eastAsiaTheme="majorEastAsia" w:cstheme="minorHAnsi"/>
          <w:bCs/>
          <w:color w:val="000000"/>
          <w:szCs w:val="24"/>
        </w:rPr>
      </w:pPr>
      <w:r>
        <w:t>We then mapped a</w:t>
      </w:r>
      <w:r>
        <w:rPr>
          <w:rFonts w:eastAsia="Times New Roman"/>
          <w:bdr w:val="none" w:sz="0" w:space="0" w:color="auto" w:frame="1"/>
          <w:lang w:eastAsia="en-GB"/>
        </w:rPr>
        <w:t xml:space="preserve">ll PN outcome measures for bacterial STIs identified in the review of RCTs onto the PN cascade shown in Figure 1 (see Supplement 2 for the findings of this mapping exercise). These were circulated to the internal experts group in advance of their meeting. For each step in </w:t>
      </w:r>
      <w:r w:rsidRPr="00537A22">
        <w:rPr>
          <w:rFonts w:eastAsia="Times New Roman"/>
          <w:bdr w:val="none" w:sz="0" w:space="0" w:color="auto" w:frame="1"/>
          <w:lang w:eastAsia="en-GB"/>
        </w:rPr>
        <w:t xml:space="preserve">the PN cascade, we proposed a list of candidate outcomes as highlighted in orange in Figure 2. This was then circulated to the external experts group </w:t>
      </w:r>
      <w:r>
        <w:rPr>
          <w:rFonts w:eastAsia="Times New Roman"/>
          <w:bdr w:val="none" w:sz="0" w:space="0" w:color="auto" w:frame="1"/>
          <w:lang w:eastAsia="en-GB"/>
        </w:rPr>
        <w:t xml:space="preserve">(attended also by internal experts) </w:t>
      </w:r>
      <w:r w:rsidRPr="00537A22">
        <w:rPr>
          <w:rFonts w:eastAsia="Times New Roman"/>
          <w:bdr w:val="none" w:sz="0" w:space="0" w:color="auto" w:frame="1"/>
          <w:lang w:eastAsia="en-GB"/>
        </w:rPr>
        <w:t xml:space="preserve">along with a brief report in advance of the second meeting. </w:t>
      </w:r>
      <w:r w:rsidRPr="00537A22">
        <w:t>D</w:t>
      </w:r>
      <w:r w:rsidRPr="00537A22">
        <w:rPr>
          <w:rFonts w:eastAsia="Times New Roman"/>
          <w:bdr w:val="none" w:sz="0" w:space="0" w:color="auto" w:frame="1"/>
          <w:lang w:eastAsia="en-GB"/>
        </w:rPr>
        <w:t xml:space="preserve">iscussion then took place among </w:t>
      </w:r>
      <w:r>
        <w:rPr>
          <w:rFonts w:eastAsia="Times New Roman"/>
          <w:bdr w:val="none" w:sz="0" w:space="0" w:color="auto" w:frame="1"/>
          <w:lang w:eastAsia="en-GB"/>
        </w:rPr>
        <w:t xml:space="preserve">external </w:t>
      </w:r>
      <w:r w:rsidRPr="00537A22">
        <w:rPr>
          <w:rFonts w:eastAsia="Times New Roman"/>
          <w:bdr w:val="none" w:sz="0" w:space="0" w:color="auto" w:frame="1"/>
          <w:lang w:eastAsia="en-GB"/>
        </w:rPr>
        <w:t>experts, with a particular focus on Steps 3-5 where there are major gaps in standards, where reasons for choices and prioritisation were explored in considerable details. This led to</w:t>
      </w:r>
      <w:r>
        <w:rPr>
          <w:rFonts w:eastAsia="Times New Roman"/>
          <w:bdr w:val="none" w:sz="0" w:space="0" w:color="auto" w:frame="1"/>
          <w:lang w:eastAsia="en-GB"/>
        </w:rPr>
        <w:t xml:space="preserve"> a consensus on a selection of </w:t>
      </w:r>
      <w:r>
        <w:rPr>
          <w:rFonts w:eastAsiaTheme="majorEastAsia" w:cstheme="minorHAnsi"/>
          <w:bCs/>
          <w:color w:val="000000"/>
          <w:szCs w:val="24"/>
        </w:rPr>
        <w:t>proposed PN auditable outcome measures for all the five steps in the PN cascade, as shown in Figure 3.</w:t>
      </w:r>
    </w:p>
    <w:p w14:paraId="2D7B208B" w14:textId="77777777" w:rsidR="00707197" w:rsidRDefault="00707197" w:rsidP="00707197">
      <w:pPr>
        <w:spacing w:after="0" w:line="360" w:lineRule="auto"/>
        <w:rPr>
          <w:rFonts w:eastAsiaTheme="majorEastAsia" w:cstheme="minorHAnsi"/>
          <w:bCs/>
          <w:color w:val="000000"/>
          <w:szCs w:val="24"/>
        </w:rPr>
      </w:pPr>
    </w:p>
    <w:p w14:paraId="679C3276" w14:textId="77777777" w:rsidR="00707197" w:rsidRPr="00537A22" w:rsidRDefault="00707197" w:rsidP="00707197">
      <w:pPr>
        <w:spacing w:after="0" w:line="360" w:lineRule="auto"/>
        <w:rPr>
          <w:rFonts w:eastAsiaTheme="majorEastAsia" w:cstheme="minorHAnsi"/>
          <w:b/>
          <w:color w:val="000000"/>
          <w:szCs w:val="24"/>
        </w:rPr>
      </w:pPr>
      <w:r w:rsidRPr="00537A22">
        <w:rPr>
          <w:rFonts w:eastAsiaTheme="majorEastAsia" w:cstheme="minorHAnsi"/>
          <w:b/>
          <w:color w:val="000000"/>
          <w:szCs w:val="24"/>
        </w:rPr>
        <w:t>Figure</w:t>
      </w:r>
      <w:r>
        <w:rPr>
          <w:rFonts w:eastAsiaTheme="majorEastAsia" w:cstheme="minorHAnsi"/>
          <w:b/>
          <w:color w:val="000000"/>
          <w:szCs w:val="24"/>
        </w:rPr>
        <w:t xml:space="preserve"> </w:t>
      </w:r>
      <w:r w:rsidRPr="00537A22">
        <w:rPr>
          <w:rFonts w:eastAsiaTheme="majorEastAsia" w:cstheme="minorHAnsi"/>
          <w:b/>
          <w:color w:val="000000"/>
          <w:szCs w:val="24"/>
        </w:rPr>
        <w:t>2. Partner notification processes and related outcome measures</w:t>
      </w:r>
    </w:p>
    <w:p w14:paraId="6E48BB05" w14:textId="77777777" w:rsidR="00707197" w:rsidRPr="00537A22" w:rsidRDefault="00707197" w:rsidP="00707197">
      <w:pPr>
        <w:spacing w:after="0" w:line="360" w:lineRule="auto"/>
        <w:rPr>
          <w:rFonts w:eastAsiaTheme="majorEastAsia" w:cstheme="minorHAnsi"/>
          <w:b/>
          <w:color w:val="000000"/>
          <w:szCs w:val="24"/>
        </w:rPr>
      </w:pPr>
      <w:r w:rsidRPr="00537A22">
        <w:rPr>
          <w:rFonts w:eastAsiaTheme="majorEastAsia" w:cstheme="minorHAnsi"/>
          <w:b/>
          <w:color w:val="000000"/>
          <w:szCs w:val="24"/>
        </w:rPr>
        <w:t>Figure</w:t>
      </w:r>
      <w:r>
        <w:rPr>
          <w:rFonts w:eastAsiaTheme="majorEastAsia" w:cstheme="minorHAnsi"/>
          <w:b/>
          <w:color w:val="000000"/>
          <w:szCs w:val="24"/>
        </w:rPr>
        <w:t xml:space="preserve"> </w:t>
      </w:r>
      <w:r w:rsidRPr="00537A22">
        <w:rPr>
          <w:rFonts w:eastAsiaTheme="majorEastAsia" w:cstheme="minorHAnsi"/>
          <w:b/>
          <w:color w:val="000000"/>
          <w:szCs w:val="24"/>
        </w:rPr>
        <w:t>3. Consensus recommendation on partner notification auditable outcome measures</w:t>
      </w:r>
    </w:p>
    <w:p w14:paraId="773BAD11" w14:textId="77777777" w:rsidR="00707197" w:rsidRDefault="00707197" w:rsidP="00707197">
      <w:pPr>
        <w:spacing w:after="0" w:line="360" w:lineRule="auto"/>
        <w:rPr>
          <w:rFonts w:eastAsiaTheme="majorEastAsia" w:cstheme="minorHAnsi"/>
          <w:bCs/>
          <w:color w:val="000000"/>
          <w:szCs w:val="24"/>
        </w:rPr>
      </w:pPr>
    </w:p>
    <w:p w14:paraId="476B67ED" w14:textId="77777777" w:rsidR="00707197" w:rsidRPr="009D791B" w:rsidRDefault="00707197" w:rsidP="00707197">
      <w:pPr>
        <w:pStyle w:val="Heading2"/>
        <w:spacing w:line="360" w:lineRule="auto"/>
        <w:rPr>
          <w:rFonts w:eastAsia="Times New Roman"/>
          <w:bdr w:val="none" w:sz="0" w:space="0" w:color="auto" w:frame="1"/>
          <w:lang w:eastAsia="en-GB"/>
        </w:rPr>
      </w:pPr>
      <w:bookmarkStart w:id="6" w:name="_Toc15394639"/>
      <w:r>
        <w:rPr>
          <w:rFonts w:eastAsia="Times New Roman"/>
          <w:bdr w:val="none" w:sz="0" w:space="0" w:color="auto" w:frame="1"/>
          <w:lang w:eastAsia="en-GB"/>
        </w:rPr>
        <w:t>Development of</w:t>
      </w:r>
      <w:r w:rsidRPr="009D791B">
        <w:rPr>
          <w:rFonts w:eastAsia="Times New Roman"/>
          <w:bdr w:val="none" w:sz="0" w:space="0" w:color="auto" w:frame="1"/>
          <w:lang w:eastAsia="en-GB"/>
        </w:rPr>
        <w:t xml:space="preserve"> recommendations </w:t>
      </w:r>
      <w:r>
        <w:rPr>
          <w:rFonts w:eastAsia="Times New Roman"/>
          <w:bdr w:val="none" w:sz="0" w:space="0" w:color="auto" w:frame="1"/>
          <w:lang w:eastAsia="en-GB"/>
        </w:rPr>
        <w:t>on</w:t>
      </w:r>
      <w:r w:rsidRPr="009D791B">
        <w:rPr>
          <w:rFonts w:eastAsia="Times New Roman"/>
          <w:bdr w:val="none" w:sz="0" w:space="0" w:color="auto" w:frame="1"/>
          <w:lang w:eastAsia="en-GB"/>
        </w:rPr>
        <w:t xml:space="preserve"> sex partnership categories</w:t>
      </w:r>
      <w:bookmarkEnd w:id="6"/>
      <w:r>
        <w:rPr>
          <w:rFonts w:eastAsia="Times New Roman"/>
          <w:bdr w:val="none" w:sz="0" w:space="0" w:color="auto" w:frame="1"/>
          <w:lang w:eastAsia="en-GB"/>
        </w:rPr>
        <w:t xml:space="preserve"> within PN outcomes</w:t>
      </w:r>
    </w:p>
    <w:p w14:paraId="7E7EC796" w14:textId="77777777" w:rsidR="00707197" w:rsidRDefault="00707197" w:rsidP="00707197">
      <w:pPr>
        <w:spacing w:after="0" w:line="360" w:lineRule="auto"/>
      </w:pPr>
      <w:r>
        <w:rPr>
          <w:rFonts w:eastAsia="Times New Roman"/>
          <w:bdr w:val="none" w:sz="0" w:space="0" w:color="auto" w:frame="1"/>
          <w:lang w:eastAsia="en-GB"/>
        </w:rPr>
        <w:t>The LUSTRUM team also developed</w:t>
      </w:r>
      <w:r>
        <w:t xml:space="preserve"> five sex partner</w:t>
      </w:r>
      <w:r w:rsidRPr="004A4433">
        <w:t xml:space="preserve"> </w:t>
      </w:r>
      <w:r>
        <w:t>categories drawing on empirical work within the research programme: “</w:t>
      </w:r>
      <w:r w:rsidRPr="00416DD1">
        <w:t>committed, steady, occasional partner, new relationship, and one-off partner</w:t>
      </w:r>
      <w:r>
        <w:t>”</w:t>
      </w:r>
      <w:r w:rsidRPr="00416DD1">
        <w:t xml:space="preserve"> </w:t>
      </w:r>
      <w:r>
        <w:t xml:space="preserve">to the external experts meeting.  It was highlighted that the LUSTRUM team had at that time demonstrated proof of feasibility by training staff members across 20 sexual health </w:t>
      </w:r>
      <w:hyperlink r:id="rId12" w:history="1">
        <w:r w:rsidRPr="00F23AB9">
          <w:rPr>
            <w:rStyle w:val="Hyperlink"/>
          </w:rPr>
          <w:t>clinics</w:t>
        </w:r>
      </w:hyperlink>
      <w:r>
        <w:t xml:space="preserve"> to collect data using these partnership categories from index cases, subsequently</w:t>
      </w:r>
      <w:r w:rsidRPr="00537A22">
        <w:rPr>
          <w:highlight w:val="yellow"/>
        </w:rPr>
        <w:t xml:space="preserve"> </w:t>
      </w:r>
      <w:r w:rsidRPr="00B349E2">
        <w:t>collected in our RCT</w:t>
      </w:r>
      <w:r w:rsidRPr="003C5152">
        <w:t xml:space="preserve"> </w:t>
      </w:r>
      <w:r w:rsidRPr="00B349E2">
        <w:fldChar w:fldCharType="begin" w:fldLock="1"/>
      </w:r>
      <w:r>
        <w:instrText>ADDIN CSL_CITATION {"citationItems":[{"id":"ITEM-1","itemData":{"URL":"http://www.isrctn.com/ISRCTN15996256","accessed":{"date-parts":[["2020","5","6"]]},"id":"ITEM-1","issued":{"date-parts":[["0"]]},"title":"ISRCTN - ISRCTN15996256: LUSTRUM Accelerated Partner Therapy (APT) Chlamydia Trial V1.0","type":"webpage"},"uris":["http://www.mendeley.com/documents/?uuid=389a744f-215d-3409-a880-57232685070a"]}],"mendeley":{"formattedCitation":"(14)","plainTextFormattedCitation":"(14)","previouslyFormattedCitation":"(14)"},"properties":{"noteIndex":0},"schema":"https://github.com/citation-style-language/schema/raw/master/csl-citation.json"}</w:instrText>
      </w:r>
      <w:r w:rsidRPr="00B349E2">
        <w:fldChar w:fldCharType="separate"/>
      </w:r>
      <w:r w:rsidRPr="00227FC9">
        <w:rPr>
          <w:noProof/>
        </w:rPr>
        <w:t>(14)</w:t>
      </w:r>
      <w:r w:rsidRPr="00B349E2">
        <w:fldChar w:fldCharType="end"/>
      </w:r>
      <w:r w:rsidRPr="003C5152">
        <w:t>.</w:t>
      </w:r>
      <w:r w:rsidRPr="00B349E2">
        <w:t xml:space="preserve"> Experts discussed whether these categories have value to inform the targeting or approaches</w:t>
      </w:r>
      <w:r>
        <w:t xml:space="preserve"> used in PN, and in evaluating outcomes. </w:t>
      </w:r>
    </w:p>
    <w:p w14:paraId="60BBB32F" w14:textId="77777777" w:rsidR="00707197" w:rsidRDefault="00707197" w:rsidP="00707197">
      <w:pPr>
        <w:spacing w:after="0" w:line="360" w:lineRule="auto"/>
      </w:pPr>
    </w:p>
    <w:p w14:paraId="1BD60F48" w14:textId="77777777" w:rsidR="00707197" w:rsidRDefault="00707197" w:rsidP="00707197">
      <w:pPr>
        <w:spacing w:after="0" w:line="360" w:lineRule="auto"/>
      </w:pPr>
      <w:r>
        <w:t xml:space="preserve">The external experts concluded that overall, these five categories are useful and can potentially provide ways of reflecting on clinical practice, and outcomes.  They recommended that </w:t>
      </w:r>
      <w:r w:rsidRPr="00416DD1">
        <w:t>all partner notification outcome measures recommended should be stratified by partnership type.</w:t>
      </w:r>
      <w:r>
        <w:t xml:space="preserve">    </w:t>
      </w:r>
    </w:p>
    <w:p w14:paraId="7E1504A2" w14:textId="77777777" w:rsidR="00707197" w:rsidRDefault="00707197" w:rsidP="00707197">
      <w:pPr>
        <w:spacing w:after="0" w:line="360" w:lineRule="auto"/>
      </w:pPr>
    </w:p>
    <w:p w14:paraId="075FC5FF" w14:textId="77777777" w:rsidR="00707197" w:rsidRDefault="00707197" w:rsidP="00707197">
      <w:pPr>
        <w:spacing w:after="0" w:line="360" w:lineRule="auto"/>
      </w:pPr>
      <w:r>
        <w:lastRenderedPageBreak/>
        <w:t xml:space="preserve">The external experts made suggested a number of refinements to terminology, reflecting the complexities of clinical practice. These related to terminology for ongoing partnerships and how to determine when a previous partner becomes a new partner again.  </w:t>
      </w:r>
    </w:p>
    <w:p w14:paraId="003B86F5" w14:textId="77777777" w:rsidR="00707197" w:rsidRDefault="00707197" w:rsidP="00707197">
      <w:pPr>
        <w:pStyle w:val="Heading2"/>
        <w:spacing w:line="360" w:lineRule="auto"/>
        <w:rPr>
          <w:rFonts w:eastAsia="Times New Roman"/>
          <w:u w:val="single"/>
          <w:bdr w:val="none" w:sz="0" w:space="0" w:color="auto" w:frame="1"/>
          <w:lang w:eastAsia="en-GB"/>
        </w:rPr>
      </w:pPr>
      <w:bookmarkStart w:id="7" w:name="_Toc15394640"/>
    </w:p>
    <w:p w14:paraId="06B504C7" w14:textId="77777777" w:rsidR="00707197" w:rsidRPr="009D791B" w:rsidRDefault="00707197" w:rsidP="00707197">
      <w:pPr>
        <w:pStyle w:val="Heading2"/>
        <w:spacing w:line="360" w:lineRule="auto"/>
        <w:rPr>
          <w:rFonts w:eastAsia="Times New Roman"/>
          <w:bdr w:val="none" w:sz="0" w:space="0" w:color="auto" w:frame="1"/>
          <w:lang w:eastAsia="en-GB"/>
        </w:rPr>
      </w:pPr>
      <w:r w:rsidRPr="009D791B">
        <w:rPr>
          <w:rFonts w:eastAsia="Times New Roman"/>
          <w:bdr w:val="none" w:sz="0" w:space="0" w:color="auto" w:frame="1"/>
          <w:lang w:eastAsia="en-GB"/>
        </w:rPr>
        <w:t>Summary of recommendations on outcome measures and sex partnership type</w:t>
      </w:r>
    </w:p>
    <w:p w14:paraId="6984FA5E" w14:textId="77777777" w:rsidR="00707197" w:rsidRPr="00B349E2" w:rsidRDefault="00707197" w:rsidP="00707197">
      <w:pPr>
        <w:spacing w:line="360" w:lineRule="auto"/>
        <w:rPr>
          <w:b/>
        </w:rPr>
      </w:pPr>
      <w:r w:rsidRPr="000B1AA5">
        <w:rPr>
          <w:bCs/>
          <w:lang w:eastAsia="en-GB"/>
        </w:rPr>
        <w:t xml:space="preserve">Figure </w:t>
      </w:r>
      <w:r>
        <w:rPr>
          <w:bCs/>
          <w:lang w:eastAsia="en-GB"/>
        </w:rPr>
        <w:t xml:space="preserve">3 </w:t>
      </w:r>
      <w:r>
        <w:rPr>
          <w:lang w:eastAsia="en-GB"/>
        </w:rPr>
        <w:t xml:space="preserve">summarises the recommended outcome measures covering Steps 1-5 of the PN cascade and indicates which are new and which are already addressed in BASHH standards, and the accompanying recommendation that all should be stratified by partnership type.  They emphasised the need for sex partnership classifications to </w:t>
      </w:r>
      <w:bookmarkEnd w:id="7"/>
      <w:r w:rsidRPr="00B46FCE">
        <w:rPr>
          <w:rFonts w:eastAsia="Times New Roman" w:cstheme="majorBidi"/>
          <w:szCs w:val="32"/>
          <w:bdr w:val="none" w:sz="0" w:space="0" w:color="auto" w:frame="1"/>
          <w:lang w:eastAsia="en-GB"/>
        </w:rPr>
        <w:t xml:space="preserve">align with national guidance on sexual history taking guidelines to integrate recommendations related to sex partner classification. </w:t>
      </w:r>
      <w:r>
        <w:t xml:space="preserve">This is required to ensure that such sex partnership data are routinely and uniformly collected by all services commissioned to provide sexual health care.  A pilot of </w:t>
      </w:r>
      <w:r w:rsidRPr="00B349E2">
        <w:rPr>
          <w:rFonts w:eastAsia="Times New Roman" w:cstheme="majorBidi"/>
          <w:szCs w:val="32"/>
          <w:bdr w:val="none" w:sz="0" w:space="0" w:color="auto" w:frame="1"/>
          <w:lang w:eastAsia="en-GB"/>
        </w:rPr>
        <w:t>data collection was proposed in order to determine appropriate standards for the proposed PN outcome measures, to assess feasibility, and ultimately align with BASHH PN standards. Given the range of settings providing sexual health services in the UK, an assessment of whether these outcomes can be collected in settings others than sexual health clinics, such as General Practice, was proposed.</w:t>
      </w:r>
    </w:p>
    <w:p w14:paraId="2D85D995" w14:textId="77777777" w:rsidR="00707197" w:rsidRDefault="00707197" w:rsidP="00707197">
      <w:pPr>
        <w:spacing w:after="0" w:line="360" w:lineRule="auto"/>
        <w:rPr>
          <w:b/>
        </w:rPr>
      </w:pPr>
    </w:p>
    <w:p w14:paraId="02F8F3D6" w14:textId="676E7B56" w:rsidR="00707197" w:rsidRDefault="00707197" w:rsidP="00707197">
      <w:pPr>
        <w:spacing w:after="0" w:line="360" w:lineRule="auto"/>
      </w:pPr>
      <w:r w:rsidRPr="00180BBE">
        <w:t>For effective evaluation of PN services for STI prevention, we need auditable outcome measures addressing each step of the PN cascade, which recognise the importance of partnership type.  A more comprehensive and outcomes focussed approach to auditing PN services will enable the cost-effective targeting of PN services, and justification of the resources needed to do this.</w:t>
      </w:r>
      <w:r>
        <w:t xml:space="preserve"> The Covid-19 pandemic has sharply highlighted the need for meaningful and well understood PN outcome measures, which can be adapted to multiple infections and settings.  The process of consensus established here in the context of bacterial STIs, can contribute a framework for discussion well beyond the field of STI control.</w:t>
      </w:r>
    </w:p>
    <w:p w14:paraId="147E80B1" w14:textId="541BAFBC" w:rsidR="00707197" w:rsidRDefault="00707197" w:rsidP="00707197">
      <w:pPr>
        <w:spacing w:after="0" w:line="360" w:lineRule="auto"/>
      </w:pPr>
    </w:p>
    <w:p w14:paraId="43B65DA1" w14:textId="77777777" w:rsidR="009946F0" w:rsidRDefault="009946F0" w:rsidP="00707197">
      <w:pPr>
        <w:spacing w:after="0" w:line="360" w:lineRule="auto"/>
      </w:pPr>
    </w:p>
    <w:p w14:paraId="7E3010C5" w14:textId="26CC198A" w:rsidR="00707197" w:rsidRDefault="00707197" w:rsidP="00707197">
      <w:pPr>
        <w:spacing w:after="0" w:line="360" w:lineRule="auto"/>
      </w:pPr>
    </w:p>
    <w:p w14:paraId="7EFC9507" w14:textId="5B609EF8" w:rsidR="00707197" w:rsidRDefault="00707197" w:rsidP="00707197">
      <w:pPr>
        <w:spacing w:after="0" w:line="360" w:lineRule="auto"/>
      </w:pPr>
    </w:p>
    <w:p w14:paraId="24BF77DF" w14:textId="021C4AFD" w:rsidR="00707197" w:rsidRDefault="00707197" w:rsidP="00707197">
      <w:pPr>
        <w:spacing w:after="0" w:line="360" w:lineRule="auto"/>
      </w:pPr>
    </w:p>
    <w:p w14:paraId="12756E75" w14:textId="040EEC91" w:rsidR="00707197" w:rsidRDefault="00707197" w:rsidP="00707197">
      <w:pPr>
        <w:spacing w:after="0" w:line="360" w:lineRule="auto"/>
      </w:pPr>
    </w:p>
    <w:p w14:paraId="1376E7F3" w14:textId="77777777" w:rsidR="00707197" w:rsidRDefault="00707197" w:rsidP="00707197">
      <w:pPr>
        <w:spacing w:line="360" w:lineRule="auto"/>
        <w:jc w:val="left"/>
      </w:pPr>
    </w:p>
    <w:p w14:paraId="53AD0FB8" w14:textId="77777777" w:rsidR="00707197" w:rsidRPr="000B1AA5" w:rsidRDefault="00707197" w:rsidP="00707197">
      <w:pPr>
        <w:pStyle w:val="Heading1"/>
        <w:spacing w:line="360" w:lineRule="auto"/>
        <w:rPr>
          <w:rFonts w:eastAsia="Times New Roman"/>
          <w:color w:val="000000"/>
          <w:u w:val="single"/>
          <w:bdr w:val="none" w:sz="0" w:space="0" w:color="auto" w:frame="1"/>
          <w:lang w:eastAsia="en-GB"/>
        </w:rPr>
      </w:pPr>
      <w:bookmarkStart w:id="8" w:name="_Toc7195574"/>
      <w:bookmarkStart w:id="9" w:name="_Toc15394642"/>
      <w:bookmarkStart w:id="10" w:name="_Toc7195572"/>
      <w:r w:rsidRPr="000B1AA5">
        <w:rPr>
          <w:rFonts w:eastAsia="Times New Roman"/>
          <w:u w:val="single"/>
          <w:bdr w:val="none" w:sz="0" w:space="0" w:color="auto" w:frame="1"/>
          <w:lang w:eastAsia="en-GB"/>
        </w:rPr>
        <w:lastRenderedPageBreak/>
        <w:t>Funding</w:t>
      </w:r>
      <w:bookmarkEnd w:id="8"/>
      <w:bookmarkEnd w:id="9"/>
    </w:p>
    <w:p w14:paraId="3140F9C2" w14:textId="77777777" w:rsidR="00707197" w:rsidRDefault="00707197" w:rsidP="00707197">
      <w:pPr>
        <w:spacing w:line="360" w:lineRule="auto"/>
        <w:rPr>
          <w:bdr w:val="none" w:sz="0" w:space="0" w:color="auto" w:frame="1"/>
          <w:lang w:eastAsia="en-GB"/>
        </w:rPr>
      </w:pPr>
      <w:r>
        <w:rPr>
          <w:lang w:eastAsia="en-GB"/>
        </w:rPr>
        <w:t xml:space="preserve">We thank British Association for Sexual Health and HIV (BASHH) for funding to support the advisory group on partner notification outcomes measures. </w:t>
      </w:r>
      <w:r>
        <w:t>We also thank the National Institute for Health Research (NIHR) for its Programme Grant for Applied Research Programme (Reference Number RP-PG-0614-20009) for the LUSTRUM study which supported the LUSTRUM internal experts, and the NIHR Health Protection Research Unit (NIHR HPRU) in Blood Borne and Sexually Transmitted Infections at UCL in partnership with Public Health England (PHE), and in collaboration with the London School of Hygiene and Tropical Medicine which additionally supported Dr Sonali Wayal. The views expressed are those of the author(s) and not necessarily those of the NIHR or the Department of Health</w:t>
      </w:r>
      <w:r w:rsidRPr="00D82695">
        <w:t xml:space="preserve"> and Social Care. The funders had no role in study design, collection, management, analysis, and interpretation of data; writing of the report and the decision to submit the report for publication.</w:t>
      </w:r>
      <w:bookmarkStart w:id="11" w:name="_Toc15394643"/>
    </w:p>
    <w:p w14:paraId="24BA613E" w14:textId="77777777" w:rsidR="00707197" w:rsidRPr="000B1AA5" w:rsidRDefault="00707197" w:rsidP="00707197">
      <w:pPr>
        <w:pStyle w:val="Heading1"/>
        <w:spacing w:line="360" w:lineRule="auto"/>
        <w:rPr>
          <w:rFonts w:eastAsia="Times New Roman"/>
          <w:u w:val="single"/>
          <w:bdr w:val="none" w:sz="0" w:space="0" w:color="auto" w:frame="1"/>
          <w:lang w:eastAsia="en-GB"/>
        </w:rPr>
      </w:pPr>
      <w:r w:rsidRPr="000B1AA5">
        <w:rPr>
          <w:rFonts w:eastAsia="Times New Roman"/>
          <w:u w:val="single"/>
          <w:bdr w:val="none" w:sz="0" w:space="0" w:color="auto" w:frame="1"/>
          <w:lang w:eastAsia="en-GB"/>
        </w:rPr>
        <w:t>Acknowledgments</w:t>
      </w:r>
      <w:bookmarkEnd w:id="10"/>
      <w:bookmarkEnd w:id="11"/>
    </w:p>
    <w:p w14:paraId="1D31523B" w14:textId="77777777" w:rsidR="00707197" w:rsidRDefault="00707197" w:rsidP="00707197">
      <w:pPr>
        <w:spacing w:line="360" w:lineRule="auto"/>
        <w:rPr>
          <w:lang w:eastAsia="en-GB"/>
        </w:rPr>
      </w:pPr>
      <w:r>
        <w:rPr>
          <w:lang w:eastAsia="en-GB"/>
        </w:rPr>
        <w:t xml:space="preserve">We would like to thank Ms Kay Musonda for providing administrative support to organise the Delphi expert meetings and Ms Sarah Lasoye for assistance with manuscript preparation. We would like to thank everyone who gave their input as part of the external expert group – Ann Sullivan, Ana </w:t>
      </w:r>
      <w:proofErr w:type="spellStart"/>
      <w:r>
        <w:rPr>
          <w:lang w:eastAsia="en-GB"/>
        </w:rPr>
        <w:t>Harb</w:t>
      </w:r>
      <w:proofErr w:type="spellEnd"/>
      <w:r>
        <w:rPr>
          <w:lang w:eastAsia="en-GB"/>
        </w:rPr>
        <w:t xml:space="preserve">, Martin </w:t>
      </w:r>
      <w:proofErr w:type="spellStart"/>
      <w:r>
        <w:rPr>
          <w:lang w:eastAsia="en-GB"/>
        </w:rPr>
        <w:t>Murchie</w:t>
      </w:r>
      <w:proofErr w:type="spellEnd"/>
      <w:r>
        <w:rPr>
          <w:lang w:eastAsia="en-GB"/>
        </w:rPr>
        <w:t xml:space="preserve">, Ceri Evans, Jonathan O’Sullivan, Hannelore </w:t>
      </w:r>
      <w:proofErr w:type="spellStart"/>
      <w:r>
        <w:rPr>
          <w:lang w:eastAsia="en-GB"/>
        </w:rPr>
        <w:t>Götz</w:t>
      </w:r>
      <w:proofErr w:type="spellEnd"/>
      <w:r>
        <w:rPr>
          <w:lang w:eastAsia="en-GB"/>
        </w:rPr>
        <w:t xml:space="preserve"> and Jane Hocking. This study has been shaped through ongoing discussion and support from the LUSTRUM team.</w:t>
      </w:r>
    </w:p>
    <w:p w14:paraId="082C5896" w14:textId="77777777" w:rsidR="00707197" w:rsidRPr="000B1AA5" w:rsidRDefault="00707197" w:rsidP="00707197">
      <w:pPr>
        <w:pStyle w:val="Heading1"/>
        <w:spacing w:line="360" w:lineRule="auto"/>
        <w:rPr>
          <w:rFonts w:eastAsia="Times New Roman"/>
          <w:u w:val="single"/>
          <w:bdr w:val="none" w:sz="0" w:space="0" w:color="auto" w:frame="1"/>
          <w:lang w:eastAsia="en-GB"/>
        </w:rPr>
      </w:pPr>
      <w:bookmarkStart w:id="12" w:name="_Toc15394644"/>
      <w:r w:rsidRPr="000B1AA5">
        <w:rPr>
          <w:rFonts w:eastAsia="Times New Roman"/>
          <w:u w:val="single"/>
          <w:bdr w:val="none" w:sz="0" w:space="0" w:color="auto" w:frame="1"/>
          <w:lang w:eastAsia="en-GB"/>
        </w:rPr>
        <w:t>Competing Interests</w:t>
      </w:r>
      <w:bookmarkEnd w:id="12"/>
      <w:r w:rsidRPr="000B1AA5">
        <w:rPr>
          <w:rFonts w:eastAsia="Times New Roman"/>
          <w:u w:val="single"/>
          <w:bdr w:val="none" w:sz="0" w:space="0" w:color="auto" w:frame="1"/>
          <w:lang w:eastAsia="en-GB"/>
        </w:rPr>
        <w:t xml:space="preserve"> </w:t>
      </w:r>
    </w:p>
    <w:p w14:paraId="18AC7AFB" w14:textId="2B074617" w:rsidR="00707197" w:rsidRDefault="00707197" w:rsidP="00707197">
      <w:pPr>
        <w:spacing w:line="360" w:lineRule="auto"/>
      </w:pPr>
      <w:r>
        <w:rPr>
          <w:lang w:eastAsia="en-GB"/>
        </w:rPr>
        <w:t>None.</w:t>
      </w:r>
    </w:p>
    <w:p w14:paraId="23AF0FE4" w14:textId="77777777" w:rsidR="00707197" w:rsidRPr="000B1AA5" w:rsidRDefault="00707197" w:rsidP="00707197">
      <w:pPr>
        <w:pStyle w:val="Heading1"/>
        <w:spacing w:line="360" w:lineRule="auto"/>
        <w:rPr>
          <w:u w:val="single"/>
          <w:shd w:val="clear" w:color="auto" w:fill="FFFFFF"/>
        </w:rPr>
      </w:pPr>
      <w:bookmarkStart w:id="13" w:name="_Toc15394645"/>
      <w:r w:rsidRPr="000B1AA5">
        <w:rPr>
          <w:u w:val="single"/>
          <w:shd w:val="clear" w:color="auto" w:fill="FFFFFF"/>
        </w:rPr>
        <w:t>References</w:t>
      </w:r>
      <w:bookmarkEnd w:id="13"/>
    </w:p>
    <w:p w14:paraId="0E016BAF"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fldChar w:fldCharType="begin" w:fldLock="1"/>
      </w:r>
      <w:r>
        <w:instrText xml:space="preserve">ADDIN Mendeley Bibliography CSL_BIBLIOGRAPHY </w:instrText>
      </w:r>
      <w:r>
        <w:fldChar w:fldCharType="separate"/>
      </w:r>
      <w:r w:rsidRPr="003346E9">
        <w:rPr>
          <w:rFonts w:cs="Arial"/>
          <w:noProof/>
          <w:szCs w:val="24"/>
        </w:rPr>
        <w:t xml:space="preserve">1. </w:t>
      </w:r>
      <w:r w:rsidRPr="003346E9">
        <w:rPr>
          <w:rFonts w:cs="Arial"/>
          <w:noProof/>
          <w:szCs w:val="24"/>
        </w:rPr>
        <w:tab/>
        <w:t xml:space="preserve">Low N, Broutet N, Adu-Sarkodie Y, Barton P, Hossain M, Hawkes S. Global control of sexually transmitted infections. Lancet. 2006;368(9551):2001–16. </w:t>
      </w:r>
    </w:p>
    <w:p w14:paraId="678CD87C"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2. </w:t>
      </w:r>
      <w:r w:rsidRPr="003346E9">
        <w:rPr>
          <w:rFonts w:cs="Arial"/>
          <w:noProof/>
          <w:szCs w:val="24"/>
        </w:rPr>
        <w:tab/>
        <w:t xml:space="preserve">Mcclean Frcp H, Radcliffe K, Frcp MA, Sullivan A, Frcp MD, Ahmed-Jushuf I, et al. 2012 BASHH statement on partner notification for sexually transmissible infections. </w:t>
      </w:r>
    </w:p>
    <w:p w14:paraId="215A0AEE"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3. </w:t>
      </w:r>
      <w:r w:rsidRPr="003346E9">
        <w:rPr>
          <w:rFonts w:cs="Arial"/>
          <w:noProof/>
          <w:szCs w:val="24"/>
        </w:rPr>
        <w:tab/>
        <w:t>British Association for Sexual Health and HIV. Standards for the management of sexually transmitted infections (STIs). 2019;(April). Available from: www.bashh.org</w:t>
      </w:r>
    </w:p>
    <w:p w14:paraId="166205EF"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4. </w:t>
      </w:r>
      <w:r w:rsidRPr="003346E9">
        <w:rPr>
          <w:rFonts w:cs="Arial"/>
          <w:noProof/>
          <w:szCs w:val="24"/>
        </w:rPr>
        <w:tab/>
        <w:t xml:space="preserve">Mercer CH, Jones KG, Johnson AM, Lewis R, Mitchell KR, Gravningen K, et al. How can we objectively categorise partnership type? A novel classification of population survey data to inform epidemiological research and clinical practice. Sex Transm Infect. 2017;93(2):129–36. </w:t>
      </w:r>
    </w:p>
    <w:p w14:paraId="498A6183"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lastRenderedPageBreak/>
        <w:t xml:space="preserve">5. </w:t>
      </w:r>
      <w:r w:rsidRPr="003346E9">
        <w:rPr>
          <w:rFonts w:cs="Arial"/>
          <w:noProof/>
          <w:szCs w:val="24"/>
        </w:rPr>
        <w:tab/>
        <w:t xml:space="preserve">Anderson, RM. In: Wasserheit JN, Aral SO, Holmes KK, Hitchcock PJ  editors. Research issues in human behavior and sexually transmitted diseases in the AIDS era. In: The transmission dynamics of sexually transmitted diseases: the behavioral component. Washington D.C.: American Society for Microbiology; 1991. p. 38–60. </w:t>
      </w:r>
    </w:p>
    <w:p w14:paraId="5CCBC790"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6. </w:t>
      </w:r>
      <w:r w:rsidRPr="003346E9">
        <w:rPr>
          <w:rFonts w:cs="Arial"/>
          <w:noProof/>
          <w:szCs w:val="24"/>
        </w:rPr>
        <w:tab/>
        <w:t xml:space="preserve">Mercer CH, Aicken CRH, Brook MG, Estcourt CS, Cassell JA. Estimating the likely public health impact of partner notification for a clinical service: An evidence-based algorithm. Am J Public Health. 2011;101(11):2117–23. </w:t>
      </w:r>
    </w:p>
    <w:p w14:paraId="10B3CB83"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7. </w:t>
      </w:r>
      <w:r w:rsidRPr="003346E9">
        <w:rPr>
          <w:rFonts w:cs="Arial"/>
          <w:noProof/>
          <w:szCs w:val="24"/>
        </w:rPr>
        <w:tab/>
        <w:t>Brook G, Bacon L, Evans C, McClean H, Roberts C, Tipple C, et al. 2013 UK national guideline for consultations requiring sexual history taking. Int J STD AIDS [Internet]. 2014;25(6):391–404. Available from: http://www.bashh.org/documents/Sexual History Guidelines 2013 final.pdf%5Cnhttp://www.ncbi.nlm.nih.gov/pubmed/24285601</w:t>
      </w:r>
    </w:p>
    <w:p w14:paraId="5C931F27"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8. </w:t>
      </w:r>
      <w:r w:rsidRPr="003346E9">
        <w:rPr>
          <w:rFonts w:cs="Arial"/>
          <w:noProof/>
          <w:szCs w:val="24"/>
        </w:rPr>
        <w:tab/>
        <w:t xml:space="preserve">Ferreira A, Young T, Mathews C, Zunza M, Low N. Strategies for partner notification for sexually transmitted infections, including HIV. Cochrane Database Syst Rev. 2013;2013(10). </w:t>
      </w:r>
    </w:p>
    <w:p w14:paraId="131F0EB6"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9. </w:t>
      </w:r>
      <w:r w:rsidRPr="003346E9">
        <w:rPr>
          <w:rFonts w:cs="Arial"/>
          <w:noProof/>
          <w:szCs w:val="24"/>
        </w:rPr>
        <w:tab/>
        <w:t>Welcome - LUSTRUM [Internet]. [cited 2020 May 4]. Available from: https://www.lustrum.org.uk/</w:t>
      </w:r>
    </w:p>
    <w:p w14:paraId="2984130B"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10. </w:t>
      </w:r>
      <w:r w:rsidRPr="003346E9">
        <w:rPr>
          <w:rFonts w:cs="Arial"/>
          <w:noProof/>
          <w:szCs w:val="24"/>
        </w:rPr>
        <w:tab/>
        <w:t>Estcourt CS, Howarth AR, Copas A, Low N, Mapp F, Owusu MW, et al. Accelerated partner therapy (APT) partner notification for people with Chlamydia trachomatis: protocol for the Limiting Undetected Sexually Transmitted infections to RedUce Morbidity (LUSTRUM) APT cross-over cluster randomised controlled trial. BMJ Open [Internet]. 2020 [cited 2020 Jun 23];10:34806. Available from: http://bmjopen.bmj.com/</w:t>
      </w:r>
    </w:p>
    <w:p w14:paraId="4ADB45F1"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11. </w:t>
      </w:r>
      <w:r w:rsidRPr="003346E9">
        <w:rPr>
          <w:rFonts w:cs="Arial"/>
          <w:noProof/>
          <w:szCs w:val="24"/>
        </w:rPr>
        <w:tab/>
        <w:t xml:space="preserve">Pothoulaki M, Vojt G, Mapp F, Woode Owusu M, Flowers P, Cassell JA, et al. The ‘lexicon of love’: Understanding types of relationships as primary contexts of STI transmission. Poster presentation at the British Association of Sexual Health and HIV Annual Conference 18-20th June 2017, Belfast, Northern Ireland. 2017. </w:t>
      </w:r>
    </w:p>
    <w:p w14:paraId="59170A30"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12. </w:t>
      </w:r>
      <w:r w:rsidRPr="003346E9">
        <w:rPr>
          <w:rFonts w:cs="Arial"/>
          <w:noProof/>
          <w:szCs w:val="24"/>
        </w:rPr>
        <w:tab/>
        <w:t>Estcourt CS, Flowers P, Cassell J, Pothoulaki M, Vojt G, Mapp F, et al. Going beyond regular and casual: development of a classification of sexual partner types to enhance partner notification for sexually transmitted infections, a mixed methods approach. medRxiv [Internet]. 2020 Sep 28 [cited 2020 Oct 12];2020.09.27.20202705. Available from: https://doi.org/10.1101/2020.09.27.20202705</w:t>
      </w:r>
    </w:p>
    <w:p w14:paraId="63EEB2E5" w14:textId="77777777" w:rsidR="00707197" w:rsidRPr="003346E9" w:rsidRDefault="00707197" w:rsidP="00707197">
      <w:pPr>
        <w:widowControl w:val="0"/>
        <w:autoSpaceDE w:val="0"/>
        <w:autoSpaceDN w:val="0"/>
        <w:adjustRightInd w:val="0"/>
        <w:spacing w:after="0" w:line="360" w:lineRule="auto"/>
        <w:ind w:left="640" w:hanging="640"/>
        <w:rPr>
          <w:rFonts w:cs="Arial"/>
          <w:noProof/>
          <w:szCs w:val="24"/>
        </w:rPr>
      </w:pPr>
      <w:r w:rsidRPr="003346E9">
        <w:rPr>
          <w:rFonts w:cs="Arial"/>
          <w:noProof/>
          <w:szCs w:val="24"/>
        </w:rPr>
        <w:t xml:space="preserve">13. </w:t>
      </w:r>
      <w:r w:rsidRPr="003346E9">
        <w:rPr>
          <w:rFonts w:cs="Arial"/>
          <w:noProof/>
          <w:szCs w:val="24"/>
        </w:rPr>
        <w:tab/>
        <w:t xml:space="preserve">Hsu C-C, Sandford BA. The Delphi Technique: Making Sense of Consensus. Pract Assessment, Res Eval. 2007;12:10. </w:t>
      </w:r>
    </w:p>
    <w:p w14:paraId="5751E4C4" w14:textId="77777777" w:rsidR="00707197" w:rsidRPr="003346E9" w:rsidRDefault="00707197" w:rsidP="00707197">
      <w:pPr>
        <w:widowControl w:val="0"/>
        <w:autoSpaceDE w:val="0"/>
        <w:autoSpaceDN w:val="0"/>
        <w:adjustRightInd w:val="0"/>
        <w:spacing w:after="0" w:line="360" w:lineRule="auto"/>
        <w:ind w:left="640" w:hanging="640"/>
        <w:rPr>
          <w:rFonts w:cs="Arial"/>
          <w:noProof/>
        </w:rPr>
      </w:pPr>
      <w:r w:rsidRPr="003346E9">
        <w:rPr>
          <w:rFonts w:cs="Arial"/>
          <w:noProof/>
          <w:szCs w:val="24"/>
        </w:rPr>
        <w:t xml:space="preserve">14. </w:t>
      </w:r>
      <w:r w:rsidRPr="003346E9">
        <w:rPr>
          <w:rFonts w:cs="Arial"/>
          <w:noProof/>
          <w:szCs w:val="24"/>
        </w:rPr>
        <w:tab/>
        <w:t xml:space="preserve">ISRCTN - ISRCTN15996256: LUSTRUM Accelerated Partner Therapy (APT) Chlamydia Trial V1.0 [Internet]. [cited 2020 May 6]. Available from: </w:t>
      </w:r>
      <w:r w:rsidRPr="003346E9">
        <w:rPr>
          <w:rFonts w:cs="Arial"/>
          <w:noProof/>
          <w:szCs w:val="24"/>
        </w:rPr>
        <w:lastRenderedPageBreak/>
        <w:t>http://www.isrctn.com/ISRCTN15996256</w:t>
      </w:r>
    </w:p>
    <w:p w14:paraId="7BC20A6B" w14:textId="77777777" w:rsidR="00707197" w:rsidRDefault="00707197" w:rsidP="00707197">
      <w:pPr>
        <w:pStyle w:val="EndNoteBibliography"/>
        <w:spacing w:after="0" w:line="360" w:lineRule="auto"/>
      </w:pPr>
      <w:r>
        <w:fldChar w:fldCharType="end"/>
      </w:r>
    </w:p>
    <w:sectPr w:rsidR="00707197" w:rsidSect="00A0117B">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8924" w14:textId="77777777" w:rsidR="007B5F12" w:rsidRDefault="007B5F12">
      <w:pPr>
        <w:spacing w:after="0" w:line="240" w:lineRule="auto"/>
      </w:pPr>
      <w:r>
        <w:separator/>
      </w:r>
    </w:p>
  </w:endnote>
  <w:endnote w:type="continuationSeparator" w:id="0">
    <w:p w14:paraId="1BA2CC21" w14:textId="77777777" w:rsidR="007B5F12" w:rsidRDefault="007B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304B" w14:textId="77777777" w:rsidR="007B5F12" w:rsidRDefault="007B5F12">
      <w:pPr>
        <w:spacing w:after="0" w:line="240" w:lineRule="auto"/>
      </w:pPr>
      <w:r>
        <w:separator/>
      </w:r>
    </w:p>
  </w:footnote>
  <w:footnote w:type="continuationSeparator" w:id="0">
    <w:p w14:paraId="47EA1E65" w14:textId="77777777" w:rsidR="007B5F12" w:rsidRDefault="007B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1EF"/>
    <w:multiLevelType w:val="hybridMultilevel"/>
    <w:tmpl w:val="64B04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5E33"/>
    <w:multiLevelType w:val="hybridMultilevel"/>
    <w:tmpl w:val="42CE522C"/>
    <w:lvl w:ilvl="0" w:tplc="FAFC3B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96313"/>
    <w:multiLevelType w:val="multilevel"/>
    <w:tmpl w:val="283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91AE8"/>
    <w:multiLevelType w:val="hybridMultilevel"/>
    <w:tmpl w:val="DE0294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22CCF"/>
    <w:multiLevelType w:val="multilevel"/>
    <w:tmpl w:val="7088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74FC3"/>
    <w:multiLevelType w:val="hybridMultilevel"/>
    <w:tmpl w:val="4300D4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30F9D"/>
    <w:multiLevelType w:val="hybridMultilevel"/>
    <w:tmpl w:val="6A3E3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E6A89"/>
    <w:multiLevelType w:val="hybridMultilevel"/>
    <w:tmpl w:val="B18E4B4E"/>
    <w:lvl w:ilvl="0" w:tplc="4C3E4720">
      <w:start w:val="1"/>
      <w:numFmt w:val="bullet"/>
      <w:lvlText w:val="•"/>
      <w:lvlJc w:val="left"/>
      <w:pPr>
        <w:tabs>
          <w:tab w:val="num" w:pos="720"/>
        </w:tabs>
        <w:ind w:left="720" w:hanging="360"/>
      </w:pPr>
      <w:rPr>
        <w:rFonts w:ascii="Times New Roman" w:hAnsi="Times New Roman" w:hint="default"/>
      </w:rPr>
    </w:lvl>
    <w:lvl w:ilvl="1" w:tplc="FDAA1CFE" w:tentative="1">
      <w:start w:val="1"/>
      <w:numFmt w:val="bullet"/>
      <w:lvlText w:val="•"/>
      <w:lvlJc w:val="left"/>
      <w:pPr>
        <w:tabs>
          <w:tab w:val="num" w:pos="1440"/>
        </w:tabs>
        <w:ind w:left="1440" w:hanging="360"/>
      </w:pPr>
      <w:rPr>
        <w:rFonts w:ascii="Times New Roman" w:hAnsi="Times New Roman" w:hint="default"/>
      </w:rPr>
    </w:lvl>
    <w:lvl w:ilvl="2" w:tplc="AC5A75BE" w:tentative="1">
      <w:start w:val="1"/>
      <w:numFmt w:val="bullet"/>
      <w:lvlText w:val="•"/>
      <w:lvlJc w:val="left"/>
      <w:pPr>
        <w:tabs>
          <w:tab w:val="num" w:pos="2160"/>
        </w:tabs>
        <w:ind w:left="2160" w:hanging="360"/>
      </w:pPr>
      <w:rPr>
        <w:rFonts w:ascii="Times New Roman" w:hAnsi="Times New Roman" w:hint="default"/>
      </w:rPr>
    </w:lvl>
    <w:lvl w:ilvl="3" w:tplc="7598EA9A" w:tentative="1">
      <w:start w:val="1"/>
      <w:numFmt w:val="bullet"/>
      <w:lvlText w:val="•"/>
      <w:lvlJc w:val="left"/>
      <w:pPr>
        <w:tabs>
          <w:tab w:val="num" w:pos="2880"/>
        </w:tabs>
        <w:ind w:left="2880" w:hanging="360"/>
      </w:pPr>
      <w:rPr>
        <w:rFonts w:ascii="Times New Roman" w:hAnsi="Times New Roman" w:hint="default"/>
      </w:rPr>
    </w:lvl>
    <w:lvl w:ilvl="4" w:tplc="DC02B808" w:tentative="1">
      <w:start w:val="1"/>
      <w:numFmt w:val="bullet"/>
      <w:lvlText w:val="•"/>
      <w:lvlJc w:val="left"/>
      <w:pPr>
        <w:tabs>
          <w:tab w:val="num" w:pos="3600"/>
        </w:tabs>
        <w:ind w:left="3600" w:hanging="360"/>
      </w:pPr>
      <w:rPr>
        <w:rFonts w:ascii="Times New Roman" w:hAnsi="Times New Roman" w:hint="default"/>
      </w:rPr>
    </w:lvl>
    <w:lvl w:ilvl="5" w:tplc="919C7B4C" w:tentative="1">
      <w:start w:val="1"/>
      <w:numFmt w:val="bullet"/>
      <w:lvlText w:val="•"/>
      <w:lvlJc w:val="left"/>
      <w:pPr>
        <w:tabs>
          <w:tab w:val="num" w:pos="4320"/>
        </w:tabs>
        <w:ind w:left="4320" w:hanging="360"/>
      </w:pPr>
      <w:rPr>
        <w:rFonts w:ascii="Times New Roman" w:hAnsi="Times New Roman" w:hint="default"/>
      </w:rPr>
    </w:lvl>
    <w:lvl w:ilvl="6" w:tplc="AA24C860" w:tentative="1">
      <w:start w:val="1"/>
      <w:numFmt w:val="bullet"/>
      <w:lvlText w:val="•"/>
      <w:lvlJc w:val="left"/>
      <w:pPr>
        <w:tabs>
          <w:tab w:val="num" w:pos="5040"/>
        </w:tabs>
        <w:ind w:left="5040" w:hanging="360"/>
      </w:pPr>
      <w:rPr>
        <w:rFonts w:ascii="Times New Roman" w:hAnsi="Times New Roman" w:hint="default"/>
      </w:rPr>
    </w:lvl>
    <w:lvl w:ilvl="7" w:tplc="9296F5AE" w:tentative="1">
      <w:start w:val="1"/>
      <w:numFmt w:val="bullet"/>
      <w:lvlText w:val="•"/>
      <w:lvlJc w:val="left"/>
      <w:pPr>
        <w:tabs>
          <w:tab w:val="num" w:pos="5760"/>
        </w:tabs>
        <w:ind w:left="5760" w:hanging="360"/>
      </w:pPr>
      <w:rPr>
        <w:rFonts w:ascii="Times New Roman" w:hAnsi="Times New Roman" w:hint="default"/>
      </w:rPr>
    </w:lvl>
    <w:lvl w:ilvl="8" w:tplc="99D4EF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D406C7"/>
    <w:multiLevelType w:val="hybridMultilevel"/>
    <w:tmpl w:val="6F1CEF7E"/>
    <w:lvl w:ilvl="0" w:tplc="7E8A1C6A">
      <w:start w:val="1"/>
      <w:numFmt w:val="bullet"/>
      <w:lvlText w:val="•"/>
      <w:lvlJc w:val="left"/>
      <w:pPr>
        <w:tabs>
          <w:tab w:val="num" w:pos="720"/>
        </w:tabs>
        <w:ind w:left="720" w:hanging="360"/>
      </w:pPr>
      <w:rPr>
        <w:rFonts w:ascii="Times New Roman" w:hAnsi="Times New Roman" w:hint="default"/>
      </w:rPr>
    </w:lvl>
    <w:lvl w:ilvl="1" w:tplc="61E639DA" w:tentative="1">
      <w:start w:val="1"/>
      <w:numFmt w:val="bullet"/>
      <w:lvlText w:val="•"/>
      <w:lvlJc w:val="left"/>
      <w:pPr>
        <w:tabs>
          <w:tab w:val="num" w:pos="1440"/>
        </w:tabs>
        <w:ind w:left="1440" w:hanging="360"/>
      </w:pPr>
      <w:rPr>
        <w:rFonts w:ascii="Times New Roman" w:hAnsi="Times New Roman" w:hint="default"/>
      </w:rPr>
    </w:lvl>
    <w:lvl w:ilvl="2" w:tplc="F2566D0A" w:tentative="1">
      <w:start w:val="1"/>
      <w:numFmt w:val="bullet"/>
      <w:lvlText w:val="•"/>
      <w:lvlJc w:val="left"/>
      <w:pPr>
        <w:tabs>
          <w:tab w:val="num" w:pos="2160"/>
        </w:tabs>
        <w:ind w:left="2160" w:hanging="360"/>
      </w:pPr>
      <w:rPr>
        <w:rFonts w:ascii="Times New Roman" w:hAnsi="Times New Roman" w:hint="default"/>
      </w:rPr>
    </w:lvl>
    <w:lvl w:ilvl="3" w:tplc="A7AAD748" w:tentative="1">
      <w:start w:val="1"/>
      <w:numFmt w:val="bullet"/>
      <w:lvlText w:val="•"/>
      <w:lvlJc w:val="left"/>
      <w:pPr>
        <w:tabs>
          <w:tab w:val="num" w:pos="2880"/>
        </w:tabs>
        <w:ind w:left="2880" w:hanging="360"/>
      </w:pPr>
      <w:rPr>
        <w:rFonts w:ascii="Times New Roman" w:hAnsi="Times New Roman" w:hint="default"/>
      </w:rPr>
    </w:lvl>
    <w:lvl w:ilvl="4" w:tplc="7FB01B04" w:tentative="1">
      <w:start w:val="1"/>
      <w:numFmt w:val="bullet"/>
      <w:lvlText w:val="•"/>
      <w:lvlJc w:val="left"/>
      <w:pPr>
        <w:tabs>
          <w:tab w:val="num" w:pos="3600"/>
        </w:tabs>
        <w:ind w:left="3600" w:hanging="360"/>
      </w:pPr>
      <w:rPr>
        <w:rFonts w:ascii="Times New Roman" w:hAnsi="Times New Roman" w:hint="default"/>
      </w:rPr>
    </w:lvl>
    <w:lvl w:ilvl="5" w:tplc="EA729644" w:tentative="1">
      <w:start w:val="1"/>
      <w:numFmt w:val="bullet"/>
      <w:lvlText w:val="•"/>
      <w:lvlJc w:val="left"/>
      <w:pPr>
        <w:tabs>
          <w:tab w:val="num" w:pos="4320"/>
        </w:tabs>
        <w:ind w:left="4320" w:hanging="360"/>
      </w:pPr>
      <w:rPr>
        <w:rFonts w:ascii="Times New Roman" w:hAnsi="Times New Roman" w:hint="default"/>
      </w:rPr>
    </w:lvl>
    <w:lvl w:ilvl="6" w:tplc="34088F2C" w:tentative="1">
      <w:start w:val="1"/>
      <w:numFmt w:val="bullet"/>
      <w:lvlText w:val="•"/>
      <w:lvlJc w:val="left"/>
      <w:pPr>
        <w:tabs>
          <w:tab w:val="num" w:pos="5040"/>
        </w:tabs>
        <w:ind w:left="5040" w:hanging="360"/>
      </w:pPr>
      <w:rPr>
        <w:rFonts w:ascii="Times New Roman" w:hAnsi="Times New Roman" w:hint="default"/>
      </w:rPr>
    </w:lvl>
    <w:lvl w:ilvl="7" w:tplc="FEE8AB3A" w:tentative="1">
      <w:start w:val="1"/>
      <w:numFmt w:val="bullet"/>
      <w:lvlText w:val="•"/>
      <w:lvlJc w:val="left"/>
      <w:pPr>
        <w:tabs>
          <w:tab w:val="num" w:pos="5760"/>
        </w:tabs>
        <w:ind w:left="5760" w:hanging="360"/>
      </w:pPr>
      <w:rPr>
        <w:rFonts w:ascii="Times New Roman" w:hAnsi="Times New Roman" w:hint="default"/>
      </w:rPr>
    </w:lvl>
    <w:lvl w:ilvl="8" w:tplc="5F084D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4A27D2"/>
    <w:multiLevelType w:val="hybridMultilevel"/>
    <w:tmpl w:val="C9BCD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C43B7"/>
    <w:multiLevelType w:val="hybridMultilevel"/>
    <w:tmpl w:val="FDEAA4FE"/>
    <w:lvl w:ilvl="0" w:tplc="39FC0C54">
      <w:start w:val="1"/>
      <w:numFmt w:val="bullet"/>
      <w:lvlText w:val="•"/>
      <w:lvlJc w:val="left"/>
      <w:pPr>
        <w:tabs>
          <w:tab w:val="num" w:pos="720"/>
        </w:tabs>
        <w:ind w:left="720" w:hanging="360"/>
      </w:pPr>
      <w:rPr>
        <w:rFonts w:ascii="Times New Roman" w:hAnsi="Times New Roman" w:hint="default"/>
      </w:rPr>
    </w:lvl>
    <w:lvl w:ilvl="1" w:tplc="3DB24D44" w:tentative="1">
      <w:start w:val="1"/>
      <w:numFmt w:val="bullet"/>
      <w:lvlText w:val="•"/>
      <w:lvlJc w:val="left"/>
      <w:pPr>
        <w:tabs>
          <w:tab w:val="num" w:pos="1440"/>
        </w:tabs>
        <w:ind w:left="1440" w:hanging="360"/>
      </w:pPr>
      <w:rPr>
        <w:rFonts w:ascii="Times New Roman" w:hAnsi="Times New Roman" w:hint="default"/>
      </w:rPr>
    </w:lvl>
    <w:lvl w:ilvl="2" w:tplc="91FA890E" w:tentative="1">
      <w:start w:val="1"/>
      <w:numFmt w:val="bullet"/>
      <w:lvlText w:val="•"/>
      <w:lvlJc w:val="left"/>
      <w:pPr>
        <w:tabs>
          <w:tab w:val="num" w:pos="2160"/>
        </w:tabs>
        <w:ind w:left="2160" w:hanging="360"/>
      </w:pPr>
      <w:rPr>
        <w:rFonts w:ascii="Times New Roman" w:hAnsi="Times New Roman" w:hint="default"/>
      </w:rPr>
    </w:lvl>
    <w:lvl w:ilvl="3" w:tplc="710EB9B2" w:tentative="1">
      <w:start w:val="1"/>
      <w:numFmt w:val="bullet"/>
      <w:lvlText w:val="•"/>
      <w:lvlJc w:val="left"/>
      <w:pPr>
        <w:tabs>
          <w:tab w:val="num" w:pos="2880"/>
        </w:tabs>
        <w:ind w:left="2880" w:hanging="360"/>
      </w:pPr>
      <w:rPr>
        <w:rFonts w:ascii="Times New Roman" w:hAnsi="Times New Roman" w:hint="default"/>
      </w:rPr>
    </w:lvl>
    <w:lvl w:ilvl="4" w:tplc="7F8EFDE6" w:tentative="1">
      <w:start w:val="1"/>
      <w:numFmt w:val="bullet"/>
      <w:lvlText w:val="•"/>
      <w:lvlJc w:val="left"/>
      <w:pPr>
        <w:tabs>
          <w:tab w:val="num" w:pos="3600"/>
        </w:tabs>
        <w:ind w:left="3600" w:hanging="360"/>
      </w:pPr>
      <w:rPr>
        <w:rFonts w:ascii="Times New Roman" w:hAnsi="Times New Roman" w:hint="default"/>
      </w:rPr>
    </w:lvl>
    <w:lvl w:ilvl="5" w:tplc="F0442668" w:tentative="1">
      <w:start w:val="1"/>
      <w:numFmt w:val="bullet"/>
      <w:lvlText w:val="•"/>
      <w:lvlJc w:val="left"/>
      <w:pPr>
        <w:tabs>
          <w:tab w:val="num" w:pos="4320"/>
        </w:tabs>
        <w:ind w:left="4320" w:hanging="360"/>
      </w:pPr>
      <w:rPr>
        <w:rFonts w:ascii="Times New Roman" w:hAnsi="Times New Roman" w:hint="default"/>
      </w:rPr>
    </w:lvl>
    <w:lvl w:ilvl="6" w:tplc="BDAAA882" w:tentative="1">
      <w:start w:val="1"/>
      <w:numFmt w:val="bullet"/>
      <w:lvlText w:val="•"/>
      <w:lvlJc w:val="left"/>
      <w:pPr>
        <w:tabs>
          <w:tab w:val="num" w:pos="5040"/>
        </w:tabs>
        <w:ind w:left="5040" w:hanging="360"/>
      </w:pPr>
      <w:rPr>
        <w:rFonts w:ascii="Times New Roman" w:hAnsi="Times New Roman" w:hint="default"/>
      </w:rPr>
    </w:lvl>
    <w:lvl w:ilvl="7" w:tplc="07021E90" w:tentative="1">
      <w:start w:val="1"/>
      <w:numFmt w:val="bullet"/>
      <w:lvlText w:val="•"/>
      <w:lvlJc w:val="left"/>
      <w:pPr>
        <w:tabs>
          <w:tab w:val="num" w:pos="5760"/>
        </w:tabs>
        <w:ind w:left="5760" w:hanging="360"/>
      </w:pPr>
      <w:rPr>
        <w:rFonts w:ascii="Times New Roman" w:hAnsi="Times New Roman" w:hint="default"/>
      </w:rPr>
    </w:lvl>
    <w:lvl w:ilvl="8" w:tplc="E36C29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939E8"/>
    <w:multiLevelType w:val="hybridMultilevel"/>
    <w:tmpl w:val="19204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D15EC"/>
    <w:multiLevelType w:val="hybridMultilevel"/>
    <w:tmpl w:val="88F8FD64"/>
    <w:lvl w:ilvl="0" w:tplc="899EE852">
      <w:start w:val="1"/>
      <w:numFmt w:val="bullet"/>
      <w:lvlText w:val="•"/>
      <w:lvlJc w:val="left"/>
      <w:pPr>
        <w:tabs>
          <w:tab w:val="num" w:pos="720"/>
        </w:tabs>
        <w:ind w:left="720" w:hanging="360"/>
      </w:pPr>
      <w:rPr>
        <w:rFonts w:ascii="Times New Roman" w:hAnsi="Times New Roman" w:hint="default"/>
      </w:rPr>
    </w:lvl>
    <w:lvl w:ilvl="1" w:tplc="30967520" w:tentative="1">
      <w:start w:val="1"/>
      <w:numFmt w:val="bullet"/>
      <w:lvlText w:val="•"/>
      <w:lvlJc w:val="left"/>
      <w:pPr>
        <w:tabs>
          <w:tab w:val="num" w:pos="1440"/>
        </w:tabs>
        <w:ind w:left="1440" w:hanging="360"/>
      </w:pPr>
      <w:rPr>
        <w:rFonts w:ascii="Times New Roman" w:hAnsi="Times New Roman" w:hint="default"/>
      </w:rPr>
    </w:lvl>
    <w:lvl w:ilvl="2" w:tplc="BE123C02" w:tentative="1">
      <w:start w:val="1"/>
      <w:numFmt w:val="bullet"/>
      <w:lvlText w:val="•"/>
      <w:lvlJc w:val="left"/>
      <w:pPr>
        <w:tabs>
          <w:tab w:val="num" w:pos="2160"/>
        </w:tabs>
        <w:ind w:left="2160" w:hanging="360"/>
      </w:pPr>
      <w:rPr>
        <w:rFonts w:ascii="Times New Roman" w:hAnsi="Times New Roman" w:hint="default"/>
      </w:rPr>
    </w:lvl>
    <w:lvl w:ilvl="3" w:tplc="8F08C666" w:tentative="1">
      <w:start w:val="1"/>
      <w:numFmt w:val="bullet"/>
      <w:lvlText w:val="•"/>
      <w:lvlJc w:val="left"/>
      <w:pPr>
        <w:tabs>
          <w:tab w:val="num" w:pos="2880"/>
        </w:tabs>
        <w:ind w:left="2880" w:hanging="360"/>
      </w:pPr>
      <w:rPr>
        <w:rFonts w:ascii="Times New Roman" w:hAnsi="Times New Roman" w:hint="default"/>
      </w:rPr>
    </w:lvl>
    <w:lvl w:ilvl="4" w:tplc="D5DE3436" w:tentative="1">
      <w:start w:val="1"/>
      <w:numFmt w:val="bullet"/>
      <w:lvlText w:val="•"/>
      <w:lvlJc w:val="left"/>
      <w:pPr>
        <w:tabs>
          <w:tab w:val="num" w:pos="3600"/>
        </w:tabs>
        <w:ind w:left="3600" w:hanging="360"/>
      </w:pPr>
      <w:rPr>
        <w:rFonts w:ascii="Times New Roman" w:hAnsi="Times New Roman" w:hint="default"/>
      </w:rPr>
    </w:lvl>
    <w:lvl w:ilvl="5" w:tplc="43906F68" w:tentative="1">
      <w:start w:val="1"/>
      <w:numFmt w:val="bullet"/>
      <w:lvlText w:val="•"/>
      <w:lvlJc w:val="left"/>
      <w:pPr>
        <w:tabs>
          <w:tab w:val="num" w:pos="4320"/>
        </w:tabs>
        <w:ind w:left="4320" w:hanging="360"/>
      </w:pPr>
      <w:rPr>
        <w:rFonts w:ascii="Times New Roman" w:hAnsi="Times New Roman" w:hint="default"/>
      </w:rPr>
    </w:lvl>
    <w:lvl w:ilvl="6" w:tplc="8CF88140" w:tentative="1">
      <w:start w:val="1"/>
      <w:numFmt w:val="bullet"/>
      <w:lvlText w:val="•"/>
      <w:lvlJc w:val="left"/>
      <w:pPr>
        <w:tabs>
          <w:tab w:val="num" w:pos="5040"/>
        </w:tabs>
        <w:ind w:left="5040" w:hanging="360"/>
      </w:pPr>
      <w:rPr>
        <w:rFonts w:ascii="Times New Roman" w:hAnsi="Times New Roman" w:hint="default"/>
      </w:rPr>
    </w:lvl>
    <w:lvl w:ilvl="7" w:tplc="D542FD7C" w:tentative="1">
      <w:start w:val="1"/>
      <w:numFmt w:val="bullet"/>
      <w:lvlText w:val="•"/>
      <w:lvlJc w:val="left"/>
      <w:pPr>
        <w:tabs>
          <w:tab w:val="num" w:pos="5760"/>
        </w:tabs>
        <w:ind w:left="5760" w:hanging="360"/>
      </w:pPr>
      <w:rPr>
        <w:rFonts w:ascii="Times New Roman" w:hAnsi="Times New Roman" w:hint="default"/>
      </w:rPr>
    </w:lvl>
    <w:lvl w:ilvl="8" w:tplc="3B64F8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0238FA"/>
    <w:multiLevelType w:val="hybridMultilevel"/>
    <w:tmpl w:val="0198731C"/>
    <w:lvl w:ilvl="0" w:tplc="80DE565C">
      <w:start w:val="1"/>
      <w:numFmt w:val="bullet"/>
      <w:lvlText w:val="•"/>
      <w:lvlJc w:val="left"/>
      <w:pPr>
        <w:tabs>
          <w:tab w:val="num" w:pos="720"/>
        </w:tabs>
        <w:ind w:left="720" w:hanging="360"/>
      </w:pPr>
      <w:rPr>
        <w:rFonts w:ascii="Times New Roman" w:hAnsi="Times New Roman" w:hint="default"/>
      </w:rPr>
    </w:lvl>
    <w:lvl w:ilvl="1" w:tplc="849E06DE" w:tentative="1">
      <w:start w:val="1"/>
      <w:numFmt w:val="bullet"/>
      <w:lvlText w:val="•"/>
      <w:lvlJc w:val="left"/>
      <w:pPr>
        <w:tabs>
          <w:tab w:val="num" w:pos="1440"/>
        </w:tabs>
        <w:ind w:left="1440" w:hanging="360"/>
      </w:pPr>
      <w:rPr>
        <w:rFonts w:ascii="Times New Roman" w:hAnsi="Times New Roman" w:hint="default"/>
      </w:rPr>
    </w:lvl>
    <w:lvl w:ilvl="2" w:tplc="E182BB26" w:tentative="1">
      <w:start w:val="1"/>
      <w:numFmt w:val="bullet"/>
      <w:lvlText w:val="•"/>
      <w:lvlJc w:val="left"/>
      <w:pPr>
        <w:tabs>
          <w:tab w:val="num" w:pos="2160"/>
        </w:tabs>
        <w:ind w:left="2160" w:hanging="360"/>
      </w:pPr>
      <w:rPr>
        <w:rFonts w:ascii="Times New Roman" w:hAnsi="Times New Roman" w:hint="default"/>
      </w:rPr>
    </w:lvl>
    <w:lvl w:ilvl="3" w:tplc="25D47F60" w:tentative="1">
      <w:start w:val="1"/>
      <w:numFmt w:val="bullet"/>
      <w:lvlText w:val="•"/>
      <w:lvlJc w:val="left"/>
      <w:pPr>
        <w:tabs>
          <w:tab w:val="num" w:pos="2880"/>
        </w:tabs>
        <w:ind w:left="2880" w:hanging="360"/>
      </w:pPr>
      <w:rPr>
        <w:rFonts w:ascii="Times New Roman" w:hAnsi="Times New Roman" w:hint="default"/>
      </w:rPr>
    </w:lvl>
    <w:lvl w:ilvl="4" w:tplc="161C96BC" w:tentative="1">
      <w:start w:val="1"/>
      <w:numFmt w:val="bullet"/>
      <w:lvlText w:val="•"/>
      <w:lvlJc w:val="left"/>
      <w:pPr>
        <w:tabs>
          <w:tab w:val="num" w:pos="3600"/>
        </w:tabs>
        <w:ind w:left="3600" w:hanging="360"/>
      </w:pPr>
      <w:rPr>
        <w:rFonts w:ascii="Times New Roman" w:hAnsi="Times New Roman" w:hint="default"/>
      </w:rPr>
    </w:lvl>
    <w:lvl w:ilvl="5" w:tplc="50C2ADD4" w:tentative="1">
      <w:start w:val="1"/>
      <w:numFmt w:val="bullet"/>
      <w:lvlText w:val="•"/>
      <w:lvlJc w:val="left"/>
      <w:pPr>
        <w:tabs>
          <w:tab w:val="num" w:pos="4320"/>
        </w:tabs>
        <w:ind w:left="4320" w:hanging="360"/>
      </w:pPr>
      <w:rPr>
        <w:rFonts w:ascii="Times New Roman" w:hAnsi="Times New Roman" w:hint="default"/>
      </w:rPr>
    </w:lvl>
    <w:lvl w:ilvl="6" w:tplc="1B7E3910" w:tentative="1">
      <w:start w:val="1"/>
      <w:numFmt w:val="bullet"/>
      <w:lvlText w:val="•"/>
      <w:lvlJc w:val="left"/>
      <w:pPr>
        <w:tabs>
          <w:tab w:val="num" w:pos="5040"/>
        </w:tabs>
        <w:ind w:left="5040" w:hanging="360"/>
      </w:pPr>
      <w:rPr>
        <w:rFonts w:ascii="Times New Roman" w:hAnsi="Times New Roman" w:hint="default"/>
      </w:rPr>
    </w:lvl>
    <w:lvl w:ilvl="7" w:tplc="69869356" w:tentative="1">
      <w:start w:val="1"/>
      <w:numFmt w:val="bullet"/>
      <w:lvlText w:val="•"/>
      <w:lvlJc w:val="left"/>
      <w:pPr>
        <w:tabs>
          <w:tab w:val="num" w:pos="5760"/>
        </w:tabs>
        <w:ind w:left="5760" w:hanging="360"/>
      </w:pPr>
      <w:rPr>
        <w:rFonts w:ascii="Times New Roman" w:hAnsi="Times New Roman" w:hint="default"/>
      </w:rPr>
    </w:lvl>
    <w:lvl w:ilvl="8" w:tplc="C782798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1C7122"/>
    <w:multiLevelType w:val="multilevel"/>
    <w:tmpl w:val="283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745F39"/>
    <w:multiLevelType w:val="hybridMultilevel"/>
    <w:tmpl w:val="BA18A37A"/>
    <w:lvl w:ilvl="0" w:tplc="EA5A2FEE">
      <w:start w:val="1"/>
      <w:numFmt w:val="bullet"/>
      <w:lvlText w:val="•"/>
      <w:lvlJc w:val="left"/>
      <w:pPr>
        <w:tabs>
          <w:tab w:val="num" w:pos="720"/>
        </w:tabs>
        <w:ind w:left="720" w:hanging="360"/>
      </w:pPr>
      <w:rPr>
        <w:rFonts w:ascii="Times New Roman" w:hAnsi="Times New Roman" w:hint="default"/>
      </w:rPr>
    </w:lvl>
    <w:lvl w:ilvl="1" w:tplc="2B26D96E" w:tentative="1">
      <w:start w:val="1"/>
      <w:numFmt w:val="bullet"/>
      <w:lvlText w:val="•"/>
      <w:lvlJc w:val="left"/>
      <w:pPr>
        <w:tabs>
          <w:tab w:val="num" w:pos="1440"/>
        </w:tabs>
        <w:ind w:left="1440" w:hanging="360"/>
      </w:pPr>
      <w:rPr>
        <w:rFonts w:ascii="Times New Roman" w:hAnsi="Times New Roman" w:hint="default"/>
      </w:rPr>
    </w:lvl>
    <w:lvl w:ilvl="2" w:tplc="EAC4FB84" w:tentative="1">
      <w:start w:val="1"/>
      <w:numFmt w:val="bullet"/>
      <w:lvlText w:val="•"/>
      <w:lvlJc w:val="left"/>
      <w:pPr>
        <w:tabs>
          <w:tab w:val="num" w:pos="2160"/>
        </w:tabs>
        <w:ind w:left="2160" w:hanging="360"/>
      </w:pPr>
      <w:rPr>
        <w:rFonts w:ascii="Times New Roman" w:hAnsi="Times New Roman" w:hint="default"/>
      </w:rPr>
    </w:lvl>
    <w:lvl w:ilvl="3" w:tplc="C32616BA" w:tentative="1">
      <w:start w:val="1"/>
      <w:numFmt w:val="bullet"/>
      <w:lvlText w:val="•"/>
      <w:lvlJc w:val="left"/>
      <w:pPr>
        <w:tabs>
          <w:tab w:val="num" w:pos="2880"/>
        </w:tabs>
        <w:ind w:left="2880" w:hanging="360"/>
      </w:pPr>
      <w:rPr>
        <w:rFonts w:ascii="Times New Roman" w:hAnsi="Times New Roman" w:hint="default"/>
      </w:rPr>
    </w:lvl>
    <w:lvl w:ilvl="4" w:tplc="3F0E7CDE" w:tentative="1">
      <w:start w:val="1"/>
      <w:numFmt w:val="bullet"/>
      <w:lvlText w:val="•"/>
      <w:lvlJc w:val="left"/>
      <w:pPr>
        <w:tabs>
          <w:tab w:val="num" w:pos="3600"/>
        </w:tabs>
        <w:ind w:left="3600" w:hanging="360"/>
      </w:pPr>
      <w:rPr>
        <w:rFonts w:ascii="Times New Roman" w:hAnsi="Times New Roman" w:hint="default"/>
      </w:rPr>
    </w:lvl>
    <w:lvl w:ilvl="5" w:tplc="EEC2306A" w:tentative="1">
      <w:start w:val="1"/>
      <w:numFmt w:val="bullet"/>
      <w:lvlText w:val="•"/>
      <w:lvlJc w:val="left"/>
      <w:pPr>
        <w:tabs>
          <w:tab w:val="num" w:pos="4320"/>
        </w:tabs>
        <w:ind w:left="4320" w:hanging="360"/>
      </w:pPr>
      <w:rPr>
        <w:rFonts w:ascii="Times New Roman" w:hAnsi="Times New Roman" w:hint="default"/>
      </w:rPr>
    </w:lvl>
    <w:lvl w:ilvl="6" w:tplc="AF12C9E6" w:tentative="1">
      <w:start w:val="1"/>
      <w:numFmt w:val="bullet"/>
      <w:lvlText w:val="•"/>
      <w:lvlJc w:val="left"/>
      <w:pPr>
        <w:tabs>
          <w:tab w:val="num" w:pos="5040"/>
        </w:tabs>
        <w:ind w:left="5040" w:hanging="360"/>
      </w:pPr>
      <w:rPr>
        <w:rFonts w:ascii="Times New Roman" w:hAnsi="Times New Roman" w:hint="default"/>
      </w:rPr>
    </w:lvl>
    <w:lvl w:ilvl="7" w:tplc="017AFB9C" w:tentative="1">
      <w:start w:val="1"/>
      <w:numFmt w:val="bullet"/>
      <w:lvlText w:val="•"/>
      <w:lvlJc w:val="left"/>
      <w:pPr>
        <w:tabs>
          <w:tab w:val="num" w:pos="5760"/>
        </w:tabs>
        <w:ind w:left="5760" w:hanging="360"/>
      </w:pPr>
      <w:rPr>
        <w:rFonts w:ascii="Times New Roman" w:hAnsi="Times New Roman" w:hint="default"/>
      </w:rPr>
    </w:lvl>
    <w:lvl w:ilvl="8" w:tplc="2B3048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4D2906"/>
    <w:multiLevelType w:val="hybridMultilevel"/>
    <w:tmpl w:val="E9A4B7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520BC"/>
    <w:multiLevelType w:val="multilevel"/>
    <w:tmpl w:val="283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6D48C3"/>
    <w:multiLevelType w:val="multilevel"/>
    <w:tmpl w:val="283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91A56"/>
    <w:multiLevelType w:val="hybridMultilevel"/>
    <w:tmpl w:val="3CE44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D3255"/>
    <w:multiLevelType w:val="hybridMultilevel"/>
    <w:tmpl w:val="4A46CE66"/>
    <w:lvl w:ilvl="0" w:tplc="B9DCC8DC">
      <w:start w:val="1"/>
      <w:numFmt w:val="bullet"/>
      <w:lvlText w:val="•"/>
      <w:lvlJc w:val="left"/>
      <w:pPr>
        <w:tabs>
          <w:tab w:val="num" w:pos="720"/>
        </w:tabs>
        <w:ind w:left="720" w:hanging="360"/>
      </w:pPr>
      <w:rPr>
        <w:rFonts w:ascii="Times New Roman" w:hAnsi="Times New Roman" w:hint="default"/>
      </w:rPr>
    </w:lvl>
    <w:lvl w:ilvl="1" w:tplc="3EEA25AA" w:tentative="1">
      <w:start w:val="1"/>
      <w:numFmt w:val="bullet"/>
      <w:lvlText w:val="•"/>
      <w:lvlJc w:val="left"/>
      <w:pPr>
        <w:tabs>
          <w:tab w:val="num" w:pos="1440"/>
        </w:tabs>
        <w:ind w:left="1440" w:hanging="360"/>
      </w:pPr>
      <w:rPr>
        <w:rFonts w:ascii="Times New Roman" w:hAnsi="Times New Roman" w:hint="default"/>
      </w:rPr>
    </w:lvl>
    <w:lvl w:ilvl="2" w:tplc="368ACC82" w:tentative="1">
      <w:start w:val="1"/>
      <w:numFmt w:val="bullet"/>
      <w:lvlText w:val="•"/>
      <w:lvlJc w:val="left"/>
      <w:pPr>
        <w:tabs>
          <w:tab w:val="num" w:pos="2160"/>
        </w:tabs>
        <w:ind w:left="2160" w:hanging="360"/>
      </w:pPr>
      <w:rPr>
        <w:rFonts w:ascii="Times New Roman" w:hAnsi="Times New Roman" w:hint="default"/>
      </w:rPr>
    </w:lvl>
    <w:lvl w:ilvl="3" w:tplc="14AC77DA" w:tentative="1">
      <w:start w:val="1"/>
      <w:numFmt w:val="bullet"/>
      <w:lvlText w:val="•"/>
      <w:lvlJc w:val="left"/>
      <w:pPr>
        <w:tabs>
          <w:tab w:val="num" w:pos="2880"/>
        </w:tabs>
        <w:ind w:left="2880" w:hanging="360"/>
      </w:pPr>
      <w:rPr>
        <w:rFonts w:ascii="Times New Roman" w:hAnsi="Times New Roman" w:hint="default"/>
      </w:rPr>
    </w:lvl>
    <w:lvl w:ilvl="4" w:tplc="65969CEA" w:tentative="1">
      <w:start w:val="1"/>
      <w:numFmt w:val="bullet"/>
      <w:lvlText w:val="•"/>
      <w:lvlJc w:val="left"/>
      <w:pPr>
        <w:tabs>
          <w:tab w:val="num" w:pos="3600"/>
        </w:tabs>
        <w:ind w:left="3600" w:hanging="360"/>
      </w:pPr>
      <w:rPr>
        <w:rFonts w:ascii="Times New Roman" w:hAnsi="Times New Roman" w:hint="default"/>
      </w:rPr>
    </w:lvl>
    <w:lvl w:ilvl="5" w:tplc="33A6E4A2" w:tentative="1">
      <w:start w:val="1"/>
      <w:numFmt w:val="bullet"/>
      <w:lvlText w:val="•"/>
      <w:lvlJc w:val="left"/>
      <w:pPr>
        <w:tabs>
          <w:tab w:val="num" w:pos="4320"/>
        </w:tabs>
        <w:ind w:left="4320" w:hanging="360"/>
      </w:pPr>
      <w:rPr>
        <w:rFonts w:ascii="Times New Roman" w:hAnsi="Times New Roman" w:hint="default"/>
      </w:rPr>
    </w:lvl>
    <w:lvl w:ilvl="6" w:tplc="BF48C1BC" w:tentative="1">
      <w:start w:val="1"/>
      <w:numFmt w:val="bullet"/>
      <w:lvlText w:val="•"/>
      <w:lvlJc w:val="left"/>
      <w:pPr>
        <w:tabs>
          <w:tab w:val="num" w:pos="5040"/>
        </w:tabs>
        <w:ind w:left="5040" w:hanging="360"/>
      </w:pPr>
      <w:rPr>
        <w:rFonts w:ascii="Times New Roman" w:hAnsi="Times New Roman" w:hint="default"/>
      </w:rPr>
    </w:lvl>
    <w:lvl w:ilvl="7" w:tplc="FAB0F81A" w:tentative="1">
      <w:start w:val="1"/>
      <w:numFmt w:val="bullet"/>
      <w:lvlText w:val="•"/>
      <w:lvlJc w:val="left"/>
      <w:pPr>
        <w:tabs>
          <w:tab w:val="num" w:pos="5760"/>
        </w:tabs>
        <w:ind w:left="5760" w:hanging="360"/>
      </w:pPr>
      <w:rPr>
        <w:rFonts w:ascii="Times New Roman" w:hAnsi="Times New Roman" w:hint="default"/>
      </w:rPr>
    </w:lvl>
    <w:lvl w:ilvl="8" w:tplc="AB9AA7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F42B8"/>
    <w:multiLevelType w:val="hybridMultilevel"/>
    <w:tmpl w:val="7E7E5048"/>
    <w:lvl w:ilvl="0" w:tplc="56649B5E">
      <w:start w:val="1"/>
      <w:numFmt w:val="bullet"/>
      <w:lvlText w:val="•"/>
      <w:lvlJc w:val="left"/>
      <w:pPr>
        <w:tabs>
          <w:tab w:val="num" w:pos="720"/>
        </w:tabs>
        <w:ind w:left="720" w:hanging="360"/>
      </w:pPr>
      <w:rPr>
        <w:rFonts w:ascii="Times New Roman" w:hAnsi="Times New Roman" w:hint="default"/>
      </w:rPr>
    </w:lvl>
    <w:lvl w:ilvl="1" w:tplc="E8E0861A" w:tentative="1">
      <w:start w:val="1"/>
      <w:numFmt w:val="bullet"/>
      <w:lvlText w:val="•"/>
      <w:lvlJc w:val="left"/>
      <w:pPr>
        <w:tabs>
          <w:tab w:val="num" w:pos="1440"/>
        </w:tabs>
        <w:ind w:left="1440" w:hanging="360"/>
      </w:pPr>
      <w:rPr>
        <w:rFonts w:ascii="Times New Roman" w:hAnsi="Times New Roman" w:hint="default"/>
      </w:rPr>
    </w:lvl>
    <w:lvl w:ilvl="2" w:tplc="09369F9C" w:tentative="1">
      <w:start w:val="1"/>
      <w:numFmt w:val="bullet"/>
      <w:lvlText w:val="•"/>
      <w:lvlJc w:val="left"/>
      <w:pPr>
        <w:tabs>
          <w:tab w:val="num" w:pos="2160"/>
        </w:tabs>
        <w:ind w:left="2160" w:hanging="360"/>
      </w:pPr>
      <w:rPr>
        <w:rFonts w:ascii="Times New Roman" w:hAnsi="Times New Roman" w:hint="default"/>
      </w:rPr>
    </w:lvl>
    <w:lvl w:ilvl="3" w:tplc="B4D4C2A0" w:tentative="1">
      <w:start w:val="1"/>
      <w:numFmt w:val="bullet"/>
      <w:lvlText w:val="•"/>
      <w:lvlJc w:val="left"/>
      <w:pPr>
        <w:tabs>
          <w:tab w:val="num" w:pos="2880"/>
        </w:tabs>
        <w:ind w:left="2880" w:hanging="360"/>
      </w:pPr>
      <w:rPr>
        <w:rFonts w:ascii="Times New Roman" w:hAnsi="Times New Roman" w:hint="default"/>
      </w:rPr>
    </w:lvl>
    <w:lvl w:ilvl="4" w:tplc="28B8A864" w:tentative="1">
      <w:start w:val="1"/>
      <w:numFmt w:val="bullet"/>
      <w:lvlText w:val="•"/>
      <w:lvlJc w:val="left"/>
      <w:pPr>
        <w:tabs>
          <w:tab w:val="num" w:pos="3600"/>
        </w:tabs>
        <w:ind w:left="3600" w:hanging="360"/>
      </w:pPr>
      <w:rPr>
        <w:rFonts w:ascii="Times New Roman" w:hAnsi="Times New Roman" w:hint="default"/>
      </w:rPr>
    </w:lvl>
    <w:lvl w:ilvl="5" w:tplc="B1C2E15C" w:tentative="1">
      <w:start w:val="1"/>
      <w:numFmt w:val="bullet"/>
      <w:lvlText w:val="•"/>
      <w:lvlJc w:val="left"/>
      <w:pPr>
        <w:tabs>
          <w:tab w:val="num" w:pos="4320"/>
        </w:tabs>
        <w:ind w:left="4320" w:hanging="360"/>
      </w:pPr>
      <w:rPr>
        <w:rFonts w:ascii="Times New Roman" w:hAnsi="Times New Roman" w:hint="default"/>
      </w:rPr>
    </w:lvl>
    <w:lvl w:ilvl="6" w:tplc="20AE3C2E" w:tentative="1">
      <w:start w:val="1"/>
      <w:numFmt w:val="bullet"/>
      <w:lvlText w:val="•"/>
      <w:lvlJc w:val="left"/>
      <w:pPr>
        <w:tabs>
          <w:tab w:val="num" w:pos="5040"/>
        </w:tabs>
        <w:ind w:left="5040" w:hanging="360"/>
      </w:pPr>
      <w:rPr>
        <w:rFonts w:ascii="Times New Roman" w:hAnsi="Times New Roman" w:hint="default"/>
      </w:rPr>
    </w:lvl>
    <w:lvl w:ilvl="7" w:tplc="0C545974" w:tentative="1">
      <w:start w:val="1"/>
      <w:numFmt w:val="bullet"/>
      <w:lvlText w:val="•"/>
      <w:lvlJc w:val="left"/>
      <w:pPr>
        <w:tabs>
          <w:tab w:val="num" w:pos="5760"/>
        </w:tabs>
        <w:ind w:left="5760" w:hanging="360"/>
      </w:pPr>
      <w:rPr>
        <w:rFonts w:ascii="Times New Roman" w:hAnsi="Times New Roman" w:hint="default"/>
      </w:rPr>
    </w:lvl>
    <w:lvl w:ilvl="8" w:tplc="0CACA22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82472E"/>
    <w:multiLevelType w:val="hybridMultilevel"/>
    <w:tmpl w:val="D052997A"/>
    <w:lvl w:ilvl="0" w:tplc="684804B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43C35"/>
    <w:multiLevelType w:val="hybridMultilevel"/>
    <w:tmpl w:val="0FDA6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8E429F"/>
    <w:multiLevelType w:val="hybridMultilevel"/>
    <w:tmpl w:val="1D221AF6"/>
    <w:lvl w:ilvl="0" w:tplc="B374F5C2">
      <w:start w:val="1"/>
      <w:numFmt w:val="bullet"/>
      <w:lvlText w:val="•"/>
      <w:lvlJc w:val="left"/>
      <w:pPr>
        <w:tabs>
          <w:tab w:val="num" w:pos="720"/>
        </w:tabs>
        <w:ind w:left="720" w:hanging="360"/>
      </w:pPr>
      <w:rPr>
        <w:rFonts w:ascii="Times New Roman" w:hAnsi="Times New Roman" w:hint="default"/>
      </w:rPr>
    </w:lvl>
    <w:lvl w:ilvl="1" w:tplc="B970844A" w:tentative="1">
      <w:start w:val="1"/>
      <w:numFmt w:val="bullet"/>
      <w:lvlText w:val="•"/>
      <w:lvlJc w:val="left"/>
      <w:pPr>
        <w:tabs>
          <w:tab w:val="num" w:pos="1440"/>
        </w:tabs>
        <w:ind w:left="1440" w:hanging="360"/>
      </w:pPr>
      <w:rPr>
        <w:rFonts w:ascii="Times New Roman" w:hAnsi="Times New Roman" w:hint="default"/>
      </w:rPr>
    </w:lvl>
    <w:lvl w:ilvl="2" w:tplc="7A9E7B5A" w:tentative="1">
      <w:start w:val="1"/>
      <w:numFmt w:val="bullet"/>
      <w:lvlText w:val="•"/>
      <w:lvlJc w:val="left"/>
      <w:pPr>
        <w:tabs>
          <w:tab w:val="num" w:pos="2160"/>
        </w:tabs>
        <w:ind w:left="2160" w:hanging="360"/>
      </w:pPr>
      <w:rPr>
        <w:rFonts w:ascii="Times New Roman" w:hAnsi="Times New Roman" w:hint="default"/>
      </w:rPr>
    </w:lvl>
    <w:lvl w:ilvl="3" w:tplc="C19C1A10" w:tentative="1">
      <w:start w:val="1"/>
      <w:numFmt w:val="bullet"/>
      <w:lvlText w:val="•"/>
      <w:lvlJc w:val="left"/>
      <w:pPr>
        <w:tabs>
          <w:tab w:val="num" w:pos="2880"/>
        </w:tabs>
        <w:ind w:left="2880" w:hanging="360"/>
      </w:pPr>
      <w:rPr>
        <w:rFonts w:ascii="Times New Roman" w:hAnsi="Times New Roman" w:hint="default"/>
      </w:rPr>
    </w:lvl>
    <w:lvl w:ilvl="4" w:tplc="27401224" w:tentative="1">
      <w:start w:val="1"/>
      <w:numFmt w:val="bullet"/>
      <w:lvlText w:val="•"/>
      <w:lvlJc w:val="left"/>
      <w:pPr>
        <w:tabs>
          <w:tab w:val="num" w:pos="3600"/>
        </w:tabs>
        <w:ind w:left="3600" w:hanging="360"/>
      </w:pPr>
      <w:rPr>
        <w:rFonts w:ascii="Times New Roman" w:hAnsi="Times New Roman" w:hint="default"/>
      </w:rPr>
    </w:lvl>
    <w:lvl w:ilvl="5" w:tplc="72441368" w:tentative="1">
      <w:start w:val="1"/>
      <w:numFmt w:val="bullet"/>
      <w:lvlText w:val="•"/>
      <w:lvlJc w:val="left"/>
      <w:pPr>
        <w:tabs>
          <w:tab w:val="num" w:pos="4320"/>
        </w:tabs>
        <w:ind w:left="4320" w:hanging="360"/>
      </w:pPr>
      <w:rPr>
        <w:rFonts w:ascii="Times New Roman" w:hAnsi="Times New Roman" w:hint="default"/>
      </w:rPr>
    </w:lvl>
    <w:lvl w:ilvl="6" w:tplc="F39C4140" w:tentative="1">
      <w:start w:val="1"/>
      <w:numFmt w:val="bullet"/>
      <w:lvlText w:val="•"/>
      <w:lvlJc w:val="left"/>
      <w:pPr>
        <w:tabs>
          <w:tab w:val="num" w:pos="5040"/>
        </w:tabs>
        <w:ind w:left="5040" w:hanging="360"/>
      </w:pPr>
      <w:rPr>
        <w:rFonts w:ascii="Times New Roman" w:hAnsi="Times New Roman" w:hint="default"/>
      </w:rPr>
    </w:lvl>
    <w:lvl w:ilvl="7" w:tplc="876A65A8" w:tentative="1">
      <w:start w:val="1"/>
      <w:numFmt w:val="bullet"/>
      <w:lvlText w:val="•"/>
      <w:lvlJc w:val="left"/>
      <w:pPr>
        <w:tabs>
          <w:tab w:val="num" w:pos="5760"/>
        </w:tabs>
        <w:ind w:left="5760" w:hanging="360"/>
      </w:pPr>
      <w:rPr>
        <w:rFonts w:ascii="Times New Roman" w:hAnsi="Times New Roman" w:hint="default"/>
      </w:rPr>
    </w:lvl>
    <w:lvl w:ilvl="8" w:tplc="5B0E8A8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C5160F"/>
    <w:multiLevelType w:val="hybridMultilevel"/>
    <w:tmpl w:val="DA8E06CA"/>
    <w:lvl w:ilvl="0" w:tplc="15AE349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309AE"/>
    <w:multiLevelType w:val="hybridMultilevel"/>
    <w:tmpl w:val="4C0CE490"/>
    <w:lvl w:ilvl="0" w:tplc="CDDE6572">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C5F89"/>
    <w:multiLevelType w:val="hybridMultilevel"/>
    <w:tmpl w:val="C4C06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81571F"/>
    <w:multiLevelType w:val="hybridMultilevel"/>
    <w:tmpl w:val="213C8390"/>
    <w:lvl w:ilvl="0" w:tplc="A9FE1C6E">
      <w:start w:val="1"/>
      <w:numFmt w:val="bullet"/>
      <w:lvlText w:val="•"/>
      <w:lvlJc w:val="left"/>
      <w:pPr>
        <w:tabs>
          <w:tab w:val="num" w:pos="720"/>
        </w:tabs>
        <w:ind w:left="720" w:hanging="360"/>
      </w:pPr>
      <w:rPr>
        <w:rFonts w:ascii="Times New Roman" w:hAnsi="Times New Roman" w:hint="default"/>
      </w:rPr>
    </w:lvl>
    <w:lvl w:ilvl="1" w:tplc="00704888" w:tentative="1">
      <w:start w:val="1"/>
      <w:numFmt w:val="bullet"/>
      <w:lvlText w:val="•"/>
      <w:lvlJc w:val="left"/>
      <w:pPr>
        <w:tabs>
          <w:tab w:val="num" w:pos="1440"/>
        </w:tabs>
        <w:ind w:left="1440" w:hanging="360"/>
      </w:pPr>
      <w:rPr>
        <w:rFonts w:ascii="Times New Roman" w:hAnsi="Times New Roman" w:hint="default"/>
      </w:rPr>
    </w:lvl>
    <w:lvl w:ilvl="2" w:tplc="1B88964A" w:tentative="1">
      <w:start w:val="1"/>
      <w:numFmt w:val="bullet"/>
      <w:lvlText w:val="•"/>
      <w:lvlJc w:val="left"/>
      <w:pPr>
        <w:tabs>
          <w:tab w:val="num" w:pos="2160"/>
        </w:tabs>
        <w:ind w:left="2160" w:hanging="360"/>
      </w:pPr>
      <w:rPr>
        <w:rFonts w:ascii="Times New Roman" w:hAnsi="Times New Roman" w:hint="default"/>
      </w:rPr>
    </w:lvl>
    <w:lvl w:ilvl="3" w:tplc="3BC8BB86" w:tentative="1">
      <w:start w:val="1"/>
      <w:numFmt w:val="bullet"/>
      <w:lvlText w:val="•"/>
      <w:lvlJc w:val="left"/>
      <w:pPr>
        <w:tabs>
          <w:tab w:val="num" w:pos="2880"/>
        </w:tabs>
        <w:ind w:left="2880" w:hanging="360"/>
      </w:pPr>
      <w:rPr>
        <w:rFonts w:ascii="Times New Roman" w:hAnsi="Times New Roman" w:hint="default"/>
      </w:rPr>
    </w:lvl>
    <w:lvl w:ilvl="4" w:tplc="91D63546" w:tentative="1">
      <w:start w:val="1"/>
      <w:numFmt w:val="bullet"/>
      <w:lvlText w:val="•"/>
      <w:lvlJc w:val="left"/>
      <w:pPr>
        <w:tabs>
          <w:tab w:val="num" w:pos="3600"/>
        </w:tabs>
        <w:ind w:left="3600" w:hanging="360"/>
      </w:pPr>
      <w:rPr>
        <w:rFonts w:ascii="Times New Roman" w:hAnsi="Times New Roman" w:hint="default"/>
      </w:rPr>
    </w:lvl>
    <w:lvl w:ilvl="5" w:tplc="0F047AD6" w:tentative="1">
      <w:start w:val="1"/>
      <w:numFmt w:val="bullet"/>
      <w:lvlText w:val="•"/>
      <w:lvlJc w:val="left"/>
      <w:pPr>
        <w:tabs>
          <w:tab w:val="num" w:pos="4320"/>
        </w:tabs>
        <w:ind w:left="4320" w:hanging="360"/>
      </w:pPr>
      <w:rPr>
        <w:rFonts w:ascii="Times New Roman" w:hAnsi="Times New Roman" w:hint="default"/>
      </w:rPr>
    </w:lvl>
    <w:lvl w:ilvl="6" w:tplc="DADCEC68" w:tentative="1">
      <w:start w:val="1"/>
      <w:numFmt w:val="bullet"/>
      <w:lvlText w:val="•"/>
      <w:lvlJc w:val="left"/>
      <w:pPr>
        <w:tabs>
          <w:tab w:val="num" w:pos="5040"/>
        </w:tabs>
        <w:ind w:left="5040" w:hanging="360"/>
      </w:pPr>
      <w:rPr>
        <w:rFonts w:ascii="Times New Roman" w:hAnsi="Times New Roman" w:hint="default"/>
      </w:rPr>
    </w:lvl>
    <w:lvl w:ilvl="7" w:tplc="DC044674" w:tentative="1">
      <w:start w:val="1"/>
      <w:numFmt w:val="bullet"/>
      <w:lvlText w:val="•"/>
      <w:lvlJc w:val="left"/>
      <w:pPr>
        <w:tabs>
          <w:tab w:val="num" w:pos="5760"/>
        </w:tabs>
        <w:ind w:left="5760" w:hanging="360"/>
      </w:pPr>
      <w:rPr>
        <w:rFonts w:ascii="Times New Roman" w:hAnsi="Times New Roman" w:hint="default"/>
      </w:rPr>
    </w:lvl>
    <w:lvl w:ilvl="8" w:tplc="65C0D2B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9C13C6"/>
    <w:multiLevelType w:val="multilevel"/>
    <w:tmpl w:val="ACE08C7C"/>
    <w:lvl w:ilvl="0">
      <w:start w:val="1"/>
      <w:numFmt w:val="decimal"/>
      <w:lvlText w:val="Apendix%1"/>
      <w:lvlJc w:val="left"/>
      <w:pPr>
        <w:ind w:left="360" w:hanging="360"/>
      </w:pPr>
      <w:rPr>
        <w:rFonts w:hint="default"/>
      </w:rPr>
    </w:lvl>
    <w:lvl w:ilvl="1">
      <w:start w:val="1"/>
      <w:numFmt w:val="decimal"/>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A06ED3"/>
    <w:multiLevelType w:val="hybridMultilevel"/>
    <w:tmpl w:val="C284E44E"/>
    <w:lvl w:ilvl="0" w:tplc="036CBC00">
      <w:start w:val="1"/>
      <w:numFmt w:val="bullet"/>
      <w:lvlText w:val="•"/>
      <w:lvlJc w:val="left"/>
      <w:pPr>
        <w:tabs>
          <w:tab w:val="num" w:pos="720"/>
        </w:tabs>
        <w:ind w:left="720" w:hanging="360"/>
      </w:pPr>
      <w:rPr>
        <w:rFonts w:ascii="Times New Roman" w:hAnsi="Times New Roman" w:hint="default"/>
      </w:rPr>
    </w:lvl>
    <w:lvl w:ilvl="1" w:tplc="C00AC8DC" w:tentative="1">
      <w:start w:val="1"/>
      <w:numFmt w:val="bullet"/>
      <w:lvlText w:val="•"/>
      <w:lvlJc w:val="left"/>
      <w:pPr>
        <w:tabs>
          <w:tab w:val="num" w:pos="1440"/>
        </w:tabs>
        <w:ind w:left="1440" w:hanging="360"/>
      </w:pPr>
      <w:rPr>
        <w:rFonts w:ascii="Times New Roman" w:hAnsi="Times New Roman" w:hint="default"/>
      </w:rPr>
    </w:lvl>
    <w:lvl w:ilvl="2" w:tplc="5D90FADE" w:tentative="1">
      <w:start w:val="1"/>
      <w:numFmt w:val="bullet"/>
      <w:lvlText w:val="•"/>
      <w:lvlJc w:val="left"/>
      <w:pPr>
        <w:tabs>
          <w:tab w:val="num" w:pos="2160"/>
        </w:tabs>
        <w:ind w:left="2160" w:hanging="360"/>
      </w:pPr>
      <w:rPr>
        <w:rFonts w:ascii="Times New Roman" w:hAnsi="Times New Roman" w:hint="default"/>
      </w:rPr>
    </w:lvl>
    <w:lvl w:ilvl="3" w:tplc="BF443F50" w:tentative="1">
      <w:start w:val="1"/>
      <w:numFmt w:val="bullet"/>
      <w:lvlText w:val="•"/>
      <w:lvlJc w:val="left"/>
      <w:pPr>
        <w:tabs>
          <w:tab w:val="num" w:pos="2880"/>
        </w:tabs>
        <w:ind w:left="2880" w:hanging="360"/>
      </w:pPr>
      <w:rPr>
        <w:rFonts w:ascii="Times New Roman" w:hAnsi="Times New Roman" w:hint="default"/>
      </w:rPr>
    </w:lvl>
    <w:lvl w:ilvl="4" w:tplc="42B0C31A" w:tentative="1">
      <w:start w:val="1"/>
      <w:numFmt w:val="bullet"/>
      <w:lvlText w:val="•"/>
      <w:lvlJc w:val="left"/>
      <w:pPr>
        <w:tabs>
          <w:tab w:val="num" w:pos="3600"/>
        </w:tabs>
        <w:ind w:left="3600" w:hanging="360"/>
      </w:pPr>
      <w:rPr>
        <w:rFonts w:ascii="Times New Roman" w:hAnsi="Times New Roman" w:hint="default"/>
      </w:rPr>
    </w:lvl>
    <w:lvl w:ilvl="5" w:tplc="5D527758" w:tentative="1">
      <w:start w:val="1"/>
      <w:numFmt w:val="bullet"/>
      <w:lvlText w:val="•"/>
      <w:lvlJc w:val="left"/>
      <w:pPr>
        <w:tabs>
          <w:tab w:val="num" w:pos="4320"/>
        </w:tabs>
        <w:ind w:left="4320" w:hanging="360"/>
      </w:pPr>
      <w:rPr>
        <w:rFonts w:ascii="Times New Roman" w:hAnsi="Times New Roman" w:hint="default"/>
      </w:rPr>
    </w:lvl>
    <w:lvl w:ilvl="6" w:tplc="C890CEF2" w:tentative="1">
      <w:start w:val="1"/>
      <w:numFmt w:val="bullet"/>
      <w:lvlText w:val="•"/>
      <w:lvlJc w:val="left"/>
      <w:pPr>
        <w:tabs>
          <w:tab w:val="num" w:pos="5040"/>
        </w:tabs>
        <w:ind w:left="5040" w:hanging="360"/>
      </w:pPr>
      <w:rPr>
        <w:rFonts w:ascii="Times New Roman" w:hAnsi="Times New Roman" w:hint="default"/>
      </w:rPr>
    </w:lvl>
    <w:lvl w:ilvl="7" w:tplc="C31472DA" w:tentative="1">
      <w:start w:val="1"/>
      <w:numFmt w:val="bullet"/>
      <w:lvlText w:val="•"/>
      <w:lvlJc w:val="left"/>
      <w:pPr>
        <w:tabs>
          <w:tab w:val="num" w:pos="5760"/>
        </w:tabs>
        <w:ind w:left="5760" w:hanging="360"/>
      </w:pPr>
      <w:rPr>
        <w:rFonts w:ascii="Times New Roman" w:hAnsi="Times New Roman" w:hint="default"/>
      </w:rPr>
    </w:lvl>
    <w:lvl w:ilvl="8" w:tplc="6F9C31D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F26B7B"/>
    <w:multiLevelType w:val="hybridMultilevel"/>
    <w:tmpl w:val="25FA6EA4"/>
    <w:lvl w:ilvl="0" w:tplc="09044C84">
      <w:start w:val="1"/>
      <w:numFmt w:val="bullet"/>
      <w:lvlText w:val="•"/>
      <w:lvlJc w:val="left"/>
      <w:pPr>
        <w:tabs>
          <w:tab w:val="num" w:pos="720"/>
        </w:tabs>
        <w:ind w:left="720" w:hanging="360"/>
      </w:pPr>
      <w:rPr>
        <w:rFonts w:ascii="Times New Roman" w:hAnsi="Times New Roman" w:hint="default"/>
      </w:rPr>
    </w:lvl>
    <w:lvl w:ilvl="1" w:tplc="D842FE2A" w:tentative="1">
      <w:start w:val="1"/>
      <w:numFmt w:val="bullet"/>
      <w:lvlText w:val="•"/>
      <w:lvlJc w:val="left"/>
      <w:pPr>
        <w:tabs>
          <w:tab w:val="num" w:pos="1440"/>
        </w:tabs>
        <w:ind w:left="1440" w:hanging="360"/>
      </w:pPr>
      <w:rPr>
        <w:rFonts w:ascii="Times New Roman" w:hAnsi="Times New Roman" w:hint="default"/>
      </w:rPr>
    </w:lvl>
    <w:lvl w:ilvl="2" w:tplc="5B8C5D72" w:tentative="1">
      <w:start w:val="1"/>
      <w:numFmt w:val="bullet"/>
      <w:lvlText w:val="•"/>
      <w:lvlJc w:val="left"/>
      <w:pPr>
        <w:tabs>
          <w:tab w:val="num" w:pos="2160"/>
        </w:tabs>
        <w:ind w:left="2160" w:hanging="360"/>
      </w:pPr>
      <w:rPr>
        <w:rFonts w:ascii="Times New Roman" w:hAnsi="Times New Roman" w:hint="default"/>
      </w:rPr>
    </w:lvl>
    <w:lvl w:ilvl="3" w:tplc="62D0575A" w:tentative="1">
      <w:start w:val="1"/>
      <w:numFmt w:val="bullet"/>
      <w:lvlText w:val="•"/>
      <w:lvlJc w:val="left"/>
      <w:pPr>
        <w:tabs>
          <w:tab w:val="num" w:pos="2880"/>
        </w:tabs>
        <w:ind w:left="2880" w:hanging="360"/>
      </w:pPr>
      <w:rPr>
        <w:rFonts w:ascii="Times New Roman" w:hAnsi="Times New Roman" w:hint="default"/>
      </w:rPr>
    </w:lvl>
    <w:lvl w:ilvl="4" w:tplc="742C1608" w:tentative="1">
      <w:start w:val="1"/>
      <w:numFmt w:val="bullet"/>
      <w:lvlText w:val="•"/>
      <w:lvlJc w:val="left"/>
      <w:pPr>
        <w:tabs>
          <w:tab w:val="num" w:pos="3600"/>
        </w:tabs>
        <w:ind w:left="3600" w:hanging="360"/>
      </w:pPr>
      <w:rPr>
        <w:rFonts w:ascii="Times New Roman" w:hAnsi="Times New Roman" w:hint="default"/>
      </w:rPr>
    </w:lvl>
    <w:lvl w:ilvl="5" w:tplc="811A696C" w:tentative="1">
      <w:start w:val="1"/>
      <w:numFmt w:val="bullet"/>
      <w:lvlText w:val="•"/>
      <w:lvlJc w:val="left"/>
      <w:pPr>
        <w:tabs>
          <w:tab w:val="num" w:pos="4320"/>
        </w:tabs>
        <w:ind w:left="4320" w:hanging="360"/>
      </w:pPr>
      <w:rPr>
        <w:rFonts w:ascii="Times New Roman" w:hAnsi="Times New Roman" w:hint="default"/>
      </w:rPr>
    </w:lvl>
    <w:lvl w:ilvl="6" w:tplc="BA3ABAC6" w:tentative="1">
      <w:start w:val="1"/>
      <w:numFmt w:val="bullet"/>
      <w:lvlText w:val="•"/>
      <w:lvlJc w:val="left"/>
      <w:pPr>
        <w:tabs>
          <w:tab w:val="num" w:pos="5040"/>
        </w:tabs>
        <w:ind w:left="5040" w:hanging="360"/>
      </w:pPr>
      <w:rPr>
        <w:rFonts w:ascii="Times New Roman" w:hAnsi="Times New Roman" w:hint="default"/>
      </w:rPr>
    </w:lvl>
    <w:lvl w:ilvl="7" w:tplc="B9E637B0" w:tentative="1">
      <w:start w:val="1"/>
      <w:numFmt w:val="bullet"/>
      <w:lvlText w:val="•"/>
      <w:lvlJc w:val="left"/>
      <w:pPr>
        <w:tabs>
          <w:tab w:val="num" w:pos="5760"/>
        </w:tabs>
        <w:ind w:left="5760" w:hanging="360"/>
      </w:pPr>
      <w:rPr>
        <w:rFonts w:ascii="Times New Roman" w:hAnsi="Times New Roman" w:hint="default"/>
      </w:rPr>
    </w:lvl>
    <w:lvl w:ilvl="8" w:tplc="DDAA51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6A59F1"/>
    <w:multiLevelType w:val="hybridMultilevel"/>
    <w:tmpl w:val="112074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4"/>
  </w:num>
  <w:num w:numId="3">
    <w:abstractNumId w:val="14"/>
  </w:num>
  <w:num w:numId="4">
    <w:abstractNumId w:val="2"/>
  </w:num>
  <w:num w:numId="5">
    <w:abstractNumId w:val="18"/>
  </w:num>
  <w:num w:numId="6">
    <w:abstractNumId w:val="23"/>
  </w:num>
  <w:num w:numId="7">
    <w:abstractNumId w:val="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0"/>
  </w:num>
  <w:num w:numId="11">
    <w:abstractNumId w:val="3"/>
  </w:num>
  <w:num w:numId="12">
    <w:abstractNumId w:val="10"/>
  </w:num>
  <w:num w:numId="13">
    <w:abstractNumId w:val="13"/>
  </w:num>
  <w:num w:numId="14">
    <w:abstractNumId w:val="15"/>
  </w:num>
  <w:num w:numId="15">
    <w:abstractNumId w:val="21"/>
  </w:num>
  <w:num w:numId="16">
    <w:abstractNumId w:val="30"/>
  </w:num>
  <w:num w:numId="17">
    <w:abstractNumId w:val="31"/>
  </w:num>
  <w:num w:numId="18">
    <w:abstractNumId w:val="8"/>
  </w:num>
  <w:num w:numId="19">
    <w:abstractNumId w:val="24"/>
  </w:num>
  <w:num w:numId="20">
    <w:abstractNumId w:val="28"/>
  </w:num>
  <w:num w:numId="21">
    <w:abstractNumId w:val="20"/>
  </w:num>
  <w:num w:numId="22">
    <w:abstractNumId w:val="12"/>
  </w:num>
  <w:num w:numId="23">
    <w:abstractNumId w:val="29"/>
  </w:num>
  <w:num w:numId="24">
    <w:abstractNumId w:val="32"/>
  </w:num>
  <w:num w:numId="25">
    <w:abstractNumId w:val="1"/>
  </w:num>
  <w:num w:numId="26">
    <w:abstractNumId w:val="5"/>
  </w:num>
  <w:num w:numId="27">
    <w:abstractNumId w:val="26"/>
  </w:num>
  <w:num w:numId="28">
    <w:abstractNumId w:val="9"/>
  </w:num>
  <w:num w:numId="29">
    <w:abstractNumId w:val="16"/>
  </w:num>
  <w:num w:numId="30">
    <w:abstractNumId w:val="19"/>
  </w:num>
  <w:num w:numId="31">
    <w:abstractNumId w:val="22"/>
  </w:num>
  <w:num w:numId="32">
    <w:abstractNumId w:val="7"/>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560FB"/>
    <w:rsid w:val="00014133"/>
    <w:rsid w:val="000168DE"/>
    <w:rsid w:val="00032924"/>
    <w:rsid w:val="00036965"/>
    <w:rsid w:val="00046E1D"/>
    <w:rsid w:val="0008313C"/>
    <w:rsid w:val="0009434D"/>
    <w:rsid w:val="0009584F"/>
    <w:rsid w:val="000A0B0C"/>
    <w:rsid w:val="000B1AA5"/>
    <w:rsid w:val="000B51A8"/>
    <w:rsid w:val="000C5FF7"/>
    <w:rsid w:val="000D32AA"/>
    <w:rsid w:val="000F78C0"/>
    <w:rsid w:val="00105FE0"/>
    <w:rsid w:val="00111135"/>
    <w:rsid w:val="00126F01"/>
    <w:rsid w:val="001302B8"/>
    <w:rsid w:val="00136CA0"/>
    <w:rsid w:val="00137885"/>
    <w:rsid w:val="00144AD3"/>
    <w:rsid w:val="001455CF"/>
    <w:rsid w:val="001463CF"/>
    <w:rsid w:val="00146B86"/>
    <w:rsid w:val="00152B68"/>
    <w:rsid w:val="00166D64"/>
    <w:rsid w:val="00172C90"/>
    <w:rsid w:val="00174947"/>
    <w:rsid w:val="00174E96"/>
    <w:rsid w:val="00180BBE"/>
    <w:rsid w:val="00191013"/>
    <w:rsid w:val="00192A2D"/>
    <w:rsid w:val="001B1B5A"/>
    <w:rsid w:val="001B53CE"/>
    <w:rsid w:val="001E5F89"/>
    <w:rsid w:val="001E611F"/>
    <w:rsid w:val="001F3C27"/>
    <w:rsid w:val="001F4CB9"/>
    <w:rsid w:val="00203938"/>
    <w:rsid w:val="00203DF7"/>
    <w:rsid w:val="002120AA"/>
    <w:rsid w:val="00214D12"/>
    <w:rsid w:val="00220610"/>
    <w:rsid w:val="00227FC9"/>
    <w:rsid w:val="00235AEA"/>
    <w:rsid w:val="00245B8A"/>
    <w:rsid w:val="00245CAA"/>
    <w:rsid w:val="00247334"/>
    <w:rsid w:val="00266BE4"/>
    <w:rsid w:val="00275424"/>
    <w:rsid w:val="002818ED"/>
    <w:rsid w:val="00282467"/>
    <w:rsid w:val="00283A8C"/>
    <w:rsid w:val="00286317"/>
    <w:rsid w:val="00297FFA"/>
    <w:rsid w:val="002B7E08"/>
    <w:rsid w:val="002C4808"/>
    <w:rsid w:val="002E0859"/>
    <w:rsid w:val="002E0AFB"/>
    <w:rsid w:val="002E3BA4"/>
    <w:rsid w:val="002E549A"/>
    <w:rsid w:val="002E7B4B"/>
    <w:rsid w:val="002F268B"/>
    <w:rsid w:val="003003A2"/>
    <w:rsid w:val="00315A58"/>
    <w:rsid w:val="00330F2B"/>
    <w:rsid w:val="00333365"/>
    <w:rsid w:val="00333787"/>
    <w:rsid w:val="003346E9"/>
    <w:rsid w:val="00346B7C"/>
    <w:rsid w:val="00351369"/>
    <w:rsid w:val="003526D4"/>
    <w:rsid w:val="00355D81"/>
    <w:rsid w:val="00355FE1"/>
    <w:rsid w:val="00363CD4"/>
    <w:rsid w:val="00367B80"/>
    <w:rsid w:val="00372603"/>
    <w:rsid w:val="00384A6B"/>
    <w:rsid w:val="00386A45"/>
    <w:rsid w:val="0039227A"/>
    <w:rsid w:val="00396882"/>
    <w:rsid w:val="003B2211"/>
    <w:rsid w:val="003B6C59"/>
    <w:rsid w:val="003B7D73"/>
    <w:rsid w:val="003C5152"/>
    <w:rsid w:val="003C7BF0"/>
    <w:rsid w:val="003D22B0"/>
    <w:rsid w:val="003E1075"/>
    <w:rsid w:val="003E39B7"/>
    <w:rsid w:val="003F165A"/>
    <w:rsid w:val="00416DD1"/>
    <w:rsid w:val="00417011"/>
    <w:rsid w:val="00425DCA"/>
    <w:rsid w:val="00432A08"/>
    <w:rsid w:val="00447B07"/>
    <w:rsid w:val="0045747A"/>
    <w:rsid w:val="004716DE"/>
    <w:rsid w:val="00481D5D"/>
    <w:rsid w:val="004831F8"/>
    <w:rsid w:val="0048350B"/>
    <w:rsid w:val="004C206B"/>
    <w:rsid w:val="004C2676"/>
    <w:rsid w:val="004E61F5"/>
    <w:rsid w:val="004E6AFE"/>
    <w:rsid w:val="004F7A67"/>
    <w:rsid w:val="005009AD"/>
    <w:rsid w:val="005036A4"/>
    <w:rsid w:val="0051076B"/>
    <w:rsid w:val="00511EA4"/>
    <w:rsid w:val="00523967"/>
    <w:rsid w:val="00526C2D"/>
    <w:rsid w:val="00537A22"/>
    <w:rsid w:val="00557509"/>
    <w:rsid w:val="00572D38"/>
    <w:rsid w:val="00573318"/>
    <w:rsid w:val="0057410B"/>
    <w:rsid w:val="00582D28"/>
    <w:rsid w:val="005833A5"/>
    <w:rsid w:val="00591371"/>
    <w:rsid w:val="00593427"/>
    <w:rsid w:val="0059764B"/>
    <w:rsid w:val="005A1357"/>
    <w:rsid w:val="005B1576"/>
    <w:rsid w:val="005D51F2"/>
    <w:rsid w:val="005E5BFF"/>
    <w:rsid w:val="005F1D07"/>
    <w:rsid w:val="00602581"/>
    <w:rsid w:val="006111C2"/>
    <w:rsid w:val="00621EF3"/>
    <w:rsid w:val="00631F71"/>
    <w:rsid w:val="00664304"/>
    <w:rsid w:val="00670A2E"/>
    <w:rsid w:val="00671C1B"/>
    <w:rsid w:val="006753EA"/>
    <w:rsid w:val="00681910"/>
    <w:rsid w:val="006852F7"/>
    <w:rsid w:val="00686B41"/>
    <w:rsid w:val="0069514D"/>
    <w:rsid w:val="006A3FBA"/>
    <w:rsid w:val="006B2FCD"/>
    <w:rsid w:val="006B44BE"/>
    <w:rsid w:val="006C7667"/>
    <w:rsid w:val="006C7BF6"/>
    <w:rsid w:val="006E38CF"/>
    <w:rsid w:val="006F3497"/>
    <w:rsid w:val="00707197"/>
    <w:rsid w:val="00735914"/>
    <w:rsid w:val="007376E0"/>
    <w:rsid w:val="0074151E"/>
    <w:rsid w:val="0075521A"/>
    <w:rsid w:val="007569B4"/>
    <w:rsid w:val="00784A40"/>
    <w:rsid w:val="00787E5C"/>
    <w:rsid w:val="007A358C"/>
    <w:rsid w:val="007A3FB8"/>
    <w:rsid w:val="007B4354"/>
    <w:rsid w:val="007B5F12"/>
    <w:rsid w:val="007B7FEC"/>
    <w:rsid w:val="007C4593"/>
    <w:rsid w:val="007C6660"/>
    <w:rsid w:val="007D0988"/>
    <w:rsid w:val="007D2D60"/>
    <w:rsid w:val="007D2E57"/>
    <w:rsid w:val="007E3C63"/>
    <w:rsid w:val="008047EE"/>
    <w:rsid w:val="0081245B"/>
    <w:rsid w:val="00831390"/>
    <w:rsid w:val="008338B6"/>
    <w:rsid w:val="008372FF"/>
    <w:rsid w:val="0085329D"/>
    <w:rsid w:val="008662A0"/>
    <w:rsid w:val="00867179"/>
    <w:rsid w:val="00867F78"/>
    <w:rsid w:val="00874B34"/>
    <w:rsid w:val="00874EFC"/>
    <w:rsid w:val="008751A2"/>
    <w:rsid w:val="00876432"/>
    <w:rsid w:val="00880C54"/>
    <w:rsid w:val="00884BCA"/>
    <w:rsid w:val="008A2DAD"/>
    <w:rsid w:val="008A3125"/>
    <w:rsid w:val="008D5643"/>
    <w:rsid w:val="008E0F4B"/>
    <w:rsid w:val="008E2977"/>
    <w:rsid w:val="008F079C"/>
    <w:rsid w:val="008F5140"/>
    <w:rsid w:val="00915BC7"/>
    <w:rsid w:val="009173A5"/>
    <w:rsid w:val="00917C4B"/>
    <w:rsid w:val="00926B85"/>
    <w:rsid w:val="009329CB"/>
    <w:rsid w:val="0093759E"/>
    <w:rsid w:val="009442A6"/>
    <w:rsid w:val="00947B8F"/>
    <w:rsid w:val="00973624"/>
    <w:rsid w:val="00975881"/>
    <w:rsid w:val="0099395D"/>
    <w:rsid w:val="009946F0"/>
    <w:rsid w:val="009B08B5"/>
    <w:rsid w:val="009B0BCF"/>
    <w:rsid w:val="009C0097"/>
    <w:rsid w:val="009C40AA"/>
    <w:rsid w:val="009C7A5D"/>
    <w:rsid w:val="009C7E53"/>
    <w:rsid w:val="009D1EAA"/>
    <w:rsid w:val="009D791B"/>
    <w:rsid w:val="009E0B8D"/>
    <w:rsid w:val="009E5005"/>
    <w:rsid w:val="00A0117B"/>
    <w:rsid w:val="00A15F4B"/>
    <w:rsid w:val="00A2205D"/>
    <w:rsid w:val="00A3054D"/>
    <w:rsid w:val="00A41912"/>
    <w:rsid w:val="00A60337"/>
    <w:rsid w:val="00A60C84"/>
    <w:rsid w:val="00A84813"/>
    <w:rsid w:val="00A8553C"/>
    <w:rsid w:val="00A97EB8"/>
    <w:rsid w:val="00AB2884"/>
    <w:rsid w:val="00AB2947"/>
    <w:rsid w:val="00AD0C8C"/>
    <w:rsid w:val="00AD2FDB"/>
    <w:rsid w:val="00AE1722"/>
    <w:rsid w:val="00B016B2"/>
    <w:rsid w:val="00B07C14"/>
    <w:rsid w:val="00B11207"/>
    <w:rsid w:val="00B12EAA"/>
    <w:rsid w:val="00B3006F"/>
    <w:rsid w:val="00B33D61"/>
    <w:rsid w:val="00B349E2"/>
    <w:rsid w:val="00B42448"/>
    <w:rsid w:val="00B46FCE"/>
    <w:rsid w:val="00B51D80"/>
    <w:rsid w:val="00B814D3"/>
    <w:rsid w:val="00B83087"/>
    <w:rsid w:val="00B84A19"/>
    <w:rsid w:val="00B851E4"/>
    <w:rsid w:val="00BA07F9"/>
    <w:rsid w:val="00BA4E56"/>
    <w:rsid w:val="00BA6DD7"/>
    <w:rsid w:val="00BA7DAF"/>
    <w:rsid w:val="00BB0D3F"/>
    <w:rsid w:val="00BC368E"/>
    <w:rsid w:val="00BC589D"/>
    <w:rsid w:val="00BD5E77"/>
    <w:rsid w:val="00BD612D"/>
    <w:rsid w:val="00BE6935"/>
    <w:rsid w:val="00BF00C7"/>
    <w:rsid w:val="00C021BA"/>
    <w:rsid w:val="00C039CA"/>
    <w:rsid w:val="00C06BE2"/>
    <w:rsid w:val="00C14A21"/>
    <w:rsid w:val="00C15FDE"/>
    <w:rsid w:val="00C34A30"/>
    <w:rsid w:val="00C36D8E"/>
    <w:rsid w:val="00C4279C"/>
    <w:rsid w:val="00C560FB"/>
    <w:rsid w:val="00C660A1"/>
    <w:rsid w:val="00C73AE3"/>
    <w:rsid w:val="00C746E0"/>
    <w:rsid w:val="00C76DA4"/>
    <w:rsid w:val="00C81713"/>
    <w:rsid w:val="00C83A7B"/>
    <w:rsid w:val="00C84B5C"/>
    <w:rsid w:val="00CA0F1B"/>
    <w:rsid w:val="00CA1E9F"/>
    <w:rsid w:val="00CA3C43"/>
    <w:rsid w:val="00CB10F7"/>
    <w:rsid w:val="00CC4819"/>
    <w:rsid w:val="00CC611F"/>
    <w:rsid w:val="00D01091"/>
    <w:rsid w:val="00D02AB8"/>
    <w:rsid w:val="00D04BD7"/>
    <w:rsid w:val="00D0711D"/>
    <w:rsid w:val="00D26714"/>
    <w:rsid w:val="00D321D0"/>
    <w:rsid w:val="00D42F3D"/>
    <w:rsid w:val="00D441FA"/>
    <w:rsid w:val="00D51C9A"/>
    <w:rsid w:val="00D605B0"/>
    <w:rsid w:val="00D65FC6"/>
    <w:rsid w:val="00D70F12"/>
    <w:rsid w:val="00D74E6F"/>
    <w:rsid w:val="00D75A11"/>
    <w:rsid w:val="00D76561"/>
    <w:rsid w:val="00D82695"/>
    <w:rsid w:val="00D91E51"/>
    <w:rsid w:val="00D93AEB"/>
    <w:rsid w:val="00DA1236"/>
    <w:rsid w:val="00DB169B"/>
    <w:rsid w:val="00DC2E9F"/>
    <w:rsid w:val="00DD31B4"/>
    <w:rsid w:val="00DD3AD4"/>
    <w:rsid w:val="00DE07E4"/>
    <w:rsid w:val="00DE1396"/>
    <w:rsid w:val="00DE1F9D"/>
    <w:rsid w:val="00E127E8"/>
    <w:rsid w:val="00E1350D"/>
    <w:rsid w:val="00E1797E"/>
    <w:rsid w:val="00E200BF"/>
    <w:rsid w:val="00E256D8"/>
    <w:rsid w:val="00E27E24"/>
    <w:rsid w:val="00E35957"/>
    <w:rsid w:val="00E37C50"/>
    <w:rsid w:val="00E47089"/>
    <w:rsid w:val="00E47B2C"/>
    <w:rsid w:val="00E513FC"/>
    <w:rsid w:val="00E56935"/>
    <w:rsid w:val="00E56FD9"/>
    <w:rsid w:val="00E70EB1"/>
    <w:rsid w:val="00E776CB"/>
    <w:rsid w:val="00E91198"/>
    <w:rsid w:val="00E91EDB"/>
    <w:rsid w:val="00E94A68"/>
    <w:rsid w:val="00EA05B9"/>
    <w:rsid w:val="00EA0D28"/>
    <w:rsid w:val="00EC1E69"/>
    <w:rsid w:val="00EC552D"/>
    <w:rsid w:val="00ED22AF"/>
    <w:rsid w:val="00ED2ACE"/>
    <w:rsid w:val="00ED5C49"/>
    <w:rsid w:val="00EE7C94"/>
    <w:rsid w:val="00EF30FC"/>
    <w:rsid w:val="00EF5A50"/>
    <w:rsid w:val="00F004ED"/>
    <w:rsid w:val="00F02A0A"/>
    <w:rsid w:val="00F0367D"/>
    <w:rsid w:val="00F23AB9"/>
    <w:rsid w:val="00F333C5"/>
    <w:rsid w:val="00F33E55"/>
    <w:rsid w:val="00F44F0A"/>
    <w:rsid w:val="00F478EE"/>
    <w:rsid w:val="00F660B9"/>
    <w:rsid w:val="00F67A38"/>
    <w:rsid w:val="00F77D55"/>
    <w:rsid w:val="00F95FD0"/>
    <w:rsid w:val="00FA000A"/>
    <w:rsid w:val="00FA6357"/>
    <w:rsid w:val="00FA64EF"/>
    <w:rsid w:val="00FB2E40"/>
    <w:rsid w:val="00FB6D71"/>
    <w:rsid w:val="00FC2EB7"/>
    <w:rsid w:val="00FC41EF"/>
    <w:rsid w:val="00FD04B3"/>
    <w:rsid w:val="00FD30BF"/>
    <w:rsid w:val="00FE2D50"/>
    <w:rsid w:val="00FF2456"/>
    <w:rsid w:val="00FF3FC6"/>
    <w:rsid w:val="00FF67A7"/>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958E3"/>
  <w15:chartTrackingRefBased/>
  <w15:docId w15:val="{459A9106-54AA-43F6-A522-A4FE3D8C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D7"/>
    <w:pPr>
      <w:jc w:val="both"/>
    </w:pPr>
    <w:rPr>
      <w:rFonts w:ascii="Arial" w:hAnsi="Arial"/>
      <w:color w:val="000000" w:themeColor="text1"/>
      <w:sz w:val="24"/>
    </w:rPr>
  </w:style>
  <w:style w:type="paragraph" w:styleId="Heading1">
    <w:name w:val="heading 1"/>
    <w:basedOn w:val="Normal"/>
    <w:next w:val="Normal"/>
    <w:link w:val="Heading1Char"/>
    <w:uiPriority w:val="9"/>
    <w:qFormat/>
    <w:rsid w:val="00C560F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560FB"/>
    <w:pPr>
      <w:keepNext/>
      <w:keepLines/>
      <w:spacing w:after="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560F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0FB"/>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C560FB"/>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C560FB"/>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C560FB"/>
    <w:pPr>
      <w:ind w:left="720"/>
      <w:contextualSpacing/>
    </w:pPr>
  </w:style>
  <w:style w:type="character" w:styleId="Strong">
    <w:name w:val="Strong"/>
    <w:basedOn w:val="DefaultParagraphFont"/>
    <w:uiPriority w:val="22"/>
    <w:qFormat/>
    <w:rsid w:val="00C560FB"/>
    <w:rPr>
      <w:b/>
      <w:bCs/>
    </w:rPr>
  </w:style>
  <w:style w:type="paragraph" w:styleId="NormalWeb">
    <w:name w:val="Normal (Web)"/>
    <w:basedOn w:val="Normal"/>
    <w:uiPriority w:val="99"/>
    <w:unhideWhenUsed/>
    <w:rsid w:val="00C560FB"/>
    <w:pPr>
      <w:spacing w:after="0" w:line="240" w:lineRule="auto"/>
    </w:pPr>
    <w:rPr>
      <w:rFonts w:cs="Times New Roman"/>
      <w:color w:val="auto"/>
      <w:szCs w:val="24"/>
      <w:lang w:eastAsia="en-GB"/>
    </w:rPr>
  </w:style>
  <w:style w:type="character" w:styleId="CommentReference">
    <w:name w:val="annotation reference"/>
    <w:basedOn w:val="DefaultParagraphFont"/>
    <w:uiPriority w:val="99"/>
    <w:semiHidden/>
    <w:unhideWhenUsed/>
    <w:rsid w:val="00C560FB"/>
    <w:rPr>
      <w:sz w:val="16"/>
      <w:szCs w:val="16"/>
    </w:rPr>
  </w:style>
  <w:style w:type="paragraph" w:styleId="CommentText">
    <w:name w:val="annotation text"/>
    <w:basedOn w:val="Normal"/>
    <w:link w:val="CommentTextChar"/>
    <w:uiPriority w:val="99"/>
    <w:unhideWhenUsed/>
    <w:rsid w:val="00C560FB"/>
    <w:pPr>
      <w:spacing w:line="240" w:lineRule="auto"/>
      <w:jc w:val="left"/>
    </w:pPr>
    <w:rPr>
      <w:sz w:val="20"/>
      <w:szCs w:val="20"/>
    </w:rPr>
  </w:style>
  <w:style w:type="character" w:customStyle="1" w:styleId="CommentTextChar">
    <w:name w:val="Comment Text Char"/>
    <w:basedOn w:val="DefaultParagraphFont"/>
    <w:link w:val="CommentText"/>
    <w:uiPriority w:val="99"/>
    <w:rsid w:val="00C560FB"/>
    <w:rPr>
      <w:rFonts w:ascii="Times New Roman" w:hAnsi="Times New Roman"/>
      <w:color w:val="000000" w:themeColor="text1"/>
      <w:sz w:val="20"/>
      <w:szCs w:val="20"/>
    </w:rPr>
  </w:style>
  <w:style w:type="character" w:styleId="Hyperlink">
    <w:name w:val="Hyperlink"/>
    <w:basedOn w:val="DefaultParagraphFont"/>
    <w:uiPriority w:val="99"/>
    <w:unhideWhenUsed/>
    <w:rsid w:val="00C560FB"/>
    <w:rPr>
      <w:color w:val="0563C1" w:themeColor="hyperlink"/>
      <w:u w:val="single"/>
    </w:rPr>
  </w:style>
  <w:style w:type="paragraph" w:styleId="BalloonText">
    <w:name w:val="Balloon Text"/>
    <w:basedOn w:val="Normal"/>
    <w:link w:val="BalloonTextChar"/>
    <w:uiPriority w:val="99"/>
    <w:semiHidden/>
    <w:unhideWhenUsed/>
    <w:rsid w:val="00C56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FB"/>
    <w:rPr>
      <w:rFonts w:ascii="Segoe UI" w:hAnsi="Segoe UI" w:cs="Segoe UI"/>
      <w:color w:val="000000" w:themeColor="text1"/>
      <w:sz w:val="18"/>
      <w:szCs w:val="18"/>
    </w:rPr>
  </w:style>
  <w:style w:type="table" w:customStyle="1" w:styleId="TableGrid1">
    <w:name w:val="Table Grid1"/>
    <w:basedOn w:val="TableNormal"/>
    <w:next w:val="TableGrid"/>
    <w:uiPriority w:val="39"/>
    <w:rsid w:val="00C5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60FB"/>
    <w:pPr>
      <w:spacing w:after="200" w:line="240" w:lineRule="auto"/>
    </w:pPr>
    <w:rPr>
      <w:b/>
      <w:iCs/>
      <w:szCs w:val="18"/>
    </w:rPr>
  </w:style>
  <w:style w:type="paragraph" w:styleId="Header">
    <w:name w:val="header"/>
    <w:basedOn w:val="Normal"/>
    <w:link w:val="HeaderChar"/>
    <w:uiPriority w:val="99"/>
    <w:unhideWhenUsed/>
    <w:rsid w:val="00C56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0FB"/>
    <w:rPr>
      <w:rFonts w:ascii="Times New Roman" w:hAnsi="Times New Roman"/>
      <w:color w:val="000000" w:themeColor="text1"/>
      <w:sz w:val="24"/>
    </w:rPr>
  </w:style>
  <w:style w:type="paragraph" w:styleId="Footer">
    <w:name w:val="footer"/>
    <w:basedOn w:val="Normal"/>
    <w:link w:val="FooterChar"/>
    <w:uiPriority w:val="99"/>
    <w:unhideWhenUsed/>
    <w:rsid w:val="00C56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0FB"/>
    <w:rPr>
      <w:rFonts w:ascii="Times New Roman" w:hAnsi="Times New Roman"/>
      <w:color w:val="000000" w:themeColor="text1"/>
      <w:sz w:val="24"/>
    </w:rPr>
  </w:style>
  <w:style w:type="paragraph" w:customStyle="1" w:styleId="EndNoteBibliographyTitle">
    <w:name w:val="EndNote Bibliography Title"/>
    <w:basedOn w:val="Normal"/>
    <w:link w:val="EndNoteBibliographyTitleChar"/>
    <w:rsid w:val="00C560FB"/>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560FB"/>
    <w:rPr>
      <w:rFonts w:ascii="Times New Roman" w:hAnsi="Times New Roman" w:cs="Times New Roman"/>
      <w:noProof/>
      <w:color w:val="000000" w:themeColor="text1"/>
      <w:sz w:val="24"/>
      <w:lang w:val="en-US"/>
    </w:rPr>
  </w:style>
  <w:style w:type="paragraph" w:customStyle="1" w:styleId="EndNoteBibliography">
    <w:name w:val="EndNote Bibliography"/>
    <w:basedOn w:val="Normal"/>
    <w:link w:val="EndNoteBibliographyChar"/>
    <w:rsid w:val="00C560FB"/>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560FB"/>
    <w:rPr>
      <w:rFonts w:ascii="Times New Roman" w:hAnsi="Times New Roman" w:cs="Times New Roman"/>
      <w:noProof/>
      <w:color w:val="000000" w:themeColor="text1"/>
      <w:sz w:val="24"/>
      <w:lang w:val="en-US"/>
    </w:rPr>
  </w:style>
  <w:style w:type="paragraph" w:styleId="CommentSubject">
    <w:name w:val="annotation subject"/>
    <w:basedOn w:val="CommentText"/>
    <w:next w:val="CommentText"/>
    <w:link w:val="CommentSubjectChar"/>
    <w:uiPriority w:val="99"/>
    <w:semiHidden/>
    <w:unhideWhenUsed/>
    <w:rsid w:val="00C560FB"/>
    <w:pPr>
      <w:jc w:val="both"/>
    </w:pPr>
    <w:rPr>
      <w:b/>
      <w:bCs/>
    </w:rPr>
  </w:style>
  <w:style w:type="character" w:customStyle="1" w:styleId="CommentSubjectChar">
    <w:name w:val="Comment Subject Char"/>
    <w:basedOn w:val="CommentTextChar"/>
    <w:link w:val="CommentSubject"/>
    <w:uiPriority w:val="99"/>
    <w:semiHidden/>
    <w:rsid w:val="00C560FB"/>
    <w:rPr>
      <w:rFonts w:ascii="Times New Roman" w:hAnsi="Times New Roman"/>
      <w:b/>
      <w:bCs/>
      <w:color w:val="000000" w:themeColor="text1"/>
      <w:sz w:val="20"/>
      <w:szCs w:val="20"/>
    </w:rPr>
  </w:style>
  <w:style w:type="paragraph" w:styleId="TOC1">
    <w:name w:val="toc 1"/>
    <w:basedOn w:val="Normal"/>
    <w:next w:val="Normal"/>
    <w:autoRedefine/>
    <w:uiPriority w:val="39"/>
    <w:unhideWhenUsed/>
    <w:rsid w:val="00220610"/>
    <w:pPr>
      <w:tabs>
        <w:tab w:val="right" w:leader="dot" w:pos="9016"/>
      </w:tabs>
      <w:spacing w:after="100"/>
    </w:pPr>
  </w:style>
  <w:style w:type="paragraph" w:styleId="TOC3">
    <w:name w:val="toc 3"/>
    <w:basedOn w:val="Normal"/>
    <w:next w:val="Normal"/>
    <w:autoRedefine/>
    <w:uiPriority w:val="39"/>
    <w:unhideWhenUsed/>
    <w:rsid w:val="00C560FB"/>
    <w:pPr>
      <w:spacing w:after="100"/>
      <w:ind w:left="480"/>
    </w:pPr>
  </w:style>
  <w:style w:type="paragraph" w:styleId="TableofFigures">
    <w:name w:val="table of figures"/>
    <w:basedOn w:val="Normal"/>
    <w:next w:val="Normal"/>
    <w:uiPriority w:val="99"/>
    <w:unhideWhenUsed/>
    <w:rsid w:val="00C560FB"/>
    <w:pPr>
      <w:spacing w:after="0"/>
    </w:pPr>
  </w:style>
  <w:style w:type="paragraph" w:customStyle="1" w:styleId="Appendix">
    <w:name w:val="Appendix"/>
    <w:basedOn w:val="Heading1"/>
    <w:link w:val="AppendixChar"/>
    <w:qFormat/>
    <w:rsid w:val="00C560FB"/>
  </w:style>
  <w:style w:type="table" w:customStyle="1" w:styleId="TableGrid2">
    <w:name w:val="Table Grid2"/>
    <w:basedOn w:val="TableNormal"/>
    <w:next w:val="TableGrid"/>
    <w:uiPriority w:val="39"/>
    <w:rsid w:val="00C5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Heading1Char"/>
    <w:link w:val="Appendix"/>
    <w:rsid w:val="00C560FB"/>
    <w:rPr>
      <w:rFonts w:ascii="Times New Roman" w:eastAsiaTheme="majorEastAsia" w:hAnsi="Times New Roman" w:cstheme="majorBidi"/>
      <w:b/>
      <w:color w:val="000000" w:themeColor="text1"/>
      <w:sz w:val="24"/>
      <w:szCs w:val="32"/>
    </w:rPr>
  </w:style>
  <w:style w:type="table" w:styleId="TableGridLight">
    <w:name w:val="Grid Table Light"/>
    <w:basedOn w:val="TableNormal"/>
    <w:uiPriority w:val="40"/>
    <w:rsid w:val="00C560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C560FB"/>
    <w:pPr>
      <w:spacing w:after="100"/>
      <w:ind w:left="240"/>
    </w:pPr>
  </w:style>
  <w:style w:type="paragraph" w:customStyle="1" w:styleId="Pa0">
    <w:name w:val="Pa0"/>
    <w:basedOn w:val="Normal"/>
    <w:next w:val="Normal"/>
    <w:uiPriority w:val="99"/>
    <w:rsid w:val="00C560FB"/>
    <w:pPr>
      <w:autoSpaceDE w:val="0"/>
      <w:autoSpaceDN w:val="0"/>
      <w:adjustRightInd w:val="0"/>
      <w:spacing w:after="0" w:line="241" w:lineRule="atLeast"/>
      <w:jc w:val="left"/>
    </w:pPr>
    <w:rPr>
      <w:rFonts w:ascii="Helvetica Neue LT Std" w:hAnsi="Helvetica Neue LT Std"/>
      <w:color w:val="auto"/>
      <w:szCs w:val="24"/>
    </w:rPr>
  </w:style>
  <w:style w:type="character" w:customStyle="1" w:styleId="A3">
    <w:name w:val="A3"/>
    <w:uiPriority w:val="99"/>
    <w:rsid w:val="00C560FB"/>
    <w:rPr>
      <w:rFonts w:cs="Helvetica Neue LT Std"/>
      <w:color w:val="000000"/>
      <w:sz w:val="21"/>
      <w:szCs w:val="21"/>
    </w:rPr>
  </w:style>
  <w:style w:type="paragraph" w:styleId="Revision">
    <w:name w:val="Revision"/>
    <w:hidden/>
    <w:uiPriority w:val="99"/>
    <w:semiHidden/>
    <w:rsid w:val="00220610"/>
    <w:pPr>
      <w:spacing w:after="0" w:line="240" w:lineRule="auto"/>
    </w:pPr>
    <w:rPr>
      <w:rFonts w:ascii="Times New Roman" w:hAnsi="Times New Roman"/>
      <w:color w:val="000000" w:themeColor="text1"/>
      <w:sz w:val="24"/>
    </w:rPr>
  </w:style>
  <w:style w:type="character" w:customStyle="1" w:styleId="UnresolvedMention1">
    <w:name w:val="Unresolved Mention1"/>
    <w:basedOn w:val="DefaultParagraphFont"/>
    <w:uiPriority w:val="99"/>
    <w:semiHidden/>
    <w:unhideWhenUsed/>
    <w:rsid w:val="00F23AB9"/>
    <w:rPr>
      <w:color w:val="605E5C"/>
      <w:shd w:val="clear" w:color="auto" w:fill="E1DFDD"/>
    </w:rPr>
  </w:style>
  <w:style w:type="character" w:styleId="FollowedHyperlink">
    <w:name w:val="FollowedHyperlink"/>
    <w:basedOn w:val="DefaultParagraphFont"/>
    <w:uiPriority w:val="99"/>
    <w:semiHidden/>
    <w:unhideWhenUsed/>
    <w:rsid w:val="006F3497"/>
    <w:rPr>
      <w:color w:val="954F72" w:themeColor="followedHyperlink"/>
      <w:u w:val="single"/>
    </w:rPr>
  </w:style>
  <w:style w:type="character" w:customStyle="1" w:styleId="UnresolvedMention2">
    <w:name w:val="Unresolved Mention2"/>
    <w:basedOn w:val="DefaultParagraphFont"/>
    <w:uiPriority w:val="99"/>
    <w:semiHidden/>
    <w:unhideWhenUsed/>
    <w:rsid w:val="0053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30666">
      <w:bodyDiv w:val="1"/>
      <w:marLeft w:val="0"/>
      <w:marRight w:val="0"/>
      <w:marTop w:val="0"/>
      <w:marBottom w:val="0"/>
      <w:divBdr>
        <w:top w:val="none" w:sz="0" w:space="0" w:color="auto"/>
        <w:left w:val="none" w:sz="0" w:space="0" w:color="auto"/>
        <w:bottom w:val="none" w:sz="0" w:space="0" w:color="auto"/>
        <w:right w:val="none" w:sz="0" w:space="0" w:color="auto"/>
      </w:divBdr>
    </w:div>
    <w:div w:id="343827753">
      <w:bodyDiv w:val="1"/>
      <w:marLeft w:val="0"/>
      <w:marRight w:val="0"/>
      <w:marTop w:val="0"/>
      <w:marBottom w:val="0"/>
      <w:divBdr>
        <w:top w:val="none" w:sz="0" w:space="0" w:color="auto"/>
        <w:left w:val="none" w:sz="0" w:space="0" w:color="auto"/>
        <w:bottom w:val="none" w:sz="0" w:space="0" w:color="auto"/>
        <w:right w:val="none" w:sz="0" w:space="0" w:color="auto"/>
      </w:divBdr>
      <w:divsChild>
        <w:div w:id="2026134147">
          <w:marLeft w:val="0"/>
          <w:marRight w:val="0"/>
          <w:marTop w:val="0"/>
          <w:marBottom w:val="0"/>
          <w:divBdr>
            <w:top w:val="none" w:sz="0" w:space="0" w:color="auto"/>
            <w:left w:val="none" w:sz="0" w:space="0" w:color="auto"/>
            <w:bottom w:val="none" w:sz="0" w:space="0" w:color="auto"/>
            <w:right w:val="none" w:sz="0" w:space="0" w:color="auto"/>
          </w:divBdr>
        </w:div>
        <w:div w:id="105195604">
          <w:marLeft w:val="0"/>
          <w:marRight w:val="0"/>
          <w:marTop w:val="0"/>
          <w:marBottom w:val="0"/>
          <w:divBdr>
            <w:top w:val="none" w:sz="0" w:space="0" w:color="auto"/>
            <w:left w:val="none" w:sz="0" w:space="0" w:color="auto"/>
            <w:bottom w:val="none" w:sz="0" w:space="0" w:color="auto"/>
            <w:right w:val="none" w:sz="0" w:space="0" w:color="auto"/>
          </w:divBdr>
        </w:div>
        <w:div w:id="771317766">
          <w:marLeft w:val="0"/>
          <w:marRight w:val="0"/>
          <w:marTop w:val="0"/>
          <w:marBottom w:val="0"/>
          <w:divBdr>
            <w:top w:val="none" w:sz="0" w:space="0" w:color="auto"/>
            <w:left w:val="none" w:sz="0" w:space="0" w:color="auto"/>
            <w:bottom w:val="none" w:sz="0" w:space="0" w:color="auto"/>
            <w:right w:val="none" w:sz="0" w:space="0" w:color="auto"/>
          </w:divBdr>
        </w:div>
        <w:div w:id="1553347293">
          <w:marLeft w:val="0"/>
          <w:marRight w:val="0"/>
          <w:marTop w:val="0"/>
          <w:marBottom w:val="0"/>
          <w:divBdr>
            <w:top w:val="none" w:sz="0" w:space="0" w:color="auto"/>
            <w:left w:val="none" w:sz="0" w:space="0" w:color="auto"/>
            <w:bottom w:val="none" w:sz="0" w:space="0" w:color="auto"/>
            <w:right w:val="none" w:sz="0" w:space="0" w:color="auto"/>
          </w:divBdr>
        </w:div>
        <w:div w:id="1732384238">
          <w:marLeft w:val="0"/>
          <w:marRight w:val="0"/>
          <w:marTop w:val="0"/>
          <w:marBottom w:val="0"/>
          <w:divBdr>
            <w:top w:val="none" w:sz="0" w:space="0" w:color="auto"/>
            <w:left w:val="none" w:sz="0" w:space="0" w:color="auto"/>
            <w:bottom w:val="none" w:sz="0" w:space="0" w:color="auto"/>
            <w:right w:val="none" w:sz="0" w:space="0" w:color="auto"/>
          </w:divBdr>
        </w:div>
        <w:div w:id="1712338691">
          <w:marLeft w:val="0"/>
          <w:marRight w:val="0"/>
          <w:marTop w:val="0"/>
          <w:marBottom w:val="0"/>
          <w:divBdr>
            <w:top w:val="none" w:sz="0" w:space="0" w:color="auto"/>
            <w:left w:val="none" w:sz="0" w:space="0" w:color="auto"/>
            <w:bottom w:val="none" w:sz="0" w:space="0" w:color="auto"/>
            <w:right w:val="none" w:sz="0" w:space="0" w:color="auto"/>
          </w:divBdr>
        </w:div>
      </w:divsChild>
    </w:div>
    <w:div w:id="636569417">
      <w:bodyDiv w:val="1"/>
      <w:marLeft w:val="0"/>
      <w:marRight w:val="0"/>
      <w:marTop w:val="0"/>
      <w:marBottom w:val="0"/>
      <w:divBdr>
        <w:top w:val="none" w:sz="0" w:space="0" w:color="auto"/>
        <w:left w:val="none" w:sz="0" w:space="0" w:color="auto"/>
        <w:bottom w:val="none" w:sz="0" w:space="0" w:color="auto"/>
        <w:right w:val="none" w:sz="0" w:space="0" w:color="auto"/>
      </w:divBdr>
    </w:div>
    <w:div w:id="1059666592">
      <w:bodyDiv w:val="1"/>
      <w:marLeft w:val="0"/>
      <w:marRight w:val="0"/>
      <w:marTop w:val="0"/>
      <w:marBottom w:val="0"/>
      <w:divBdr>
        <w:top w:val="none" w:sz="0" w:space="0" w:color="auto"/>
        <w:left w:val="none" w:sz="0" w:space="0" w:color="auto"/>
        <w:bottom w:val="none" w:sz="0" w:space="0" w:color="auto"/>
        <w:right w:val="none" w:sz="0" w:space="0" w:color="auto"/>
      </w:divBdr>
      <w:divsChild>
        <w:div w:id="209389209">
          <w:marLeft w:val="547"/>
          <w:marRight w:val="0"/>
          <w:marTop w:val="0"/>
          <w:marBottom w:val="0"/>
          <w:divBdr>
            <w:top w:val="none" w:sz="0" w:space="0" w:color="auto"/>
            <w:left w:val="none" w:sz="0" w:space="0" w:color="auto"/>
            <w:bottom w:val="none" w:sz="0" w:space="0" w:color="auto"/>
            <w:right w:val="none" w:sz="0" w:space="0" w:color="auto"/>
          </w:divBdr>
        </w:div>
        <w:div w:id="859858838">
          <w:marLeft w:val="547"/>
          <w:marRight w:val="0"/>
          <w:marTop w:val="0"/>
          <w:marBottom w:val="0"/>
          <w:divBdr>
            <w:top w:val="none" w:sz="0" w:space="0" w:color="auto"/>
            <w:left w:val="none" w:sz="0" w:space="0" w:color="auto"/>
            <w:bottom w:val="none" w:sz="0" w:space="0" w:color="auto"/>
            <w:right w:val="none" w:sz="0" w:space="0" w:color="auto"/>
          </w:divBdr>
        </w:div>
        <w:div w:id="902257777">
          <w:marLeft w:val="547"/>
          <w:marRight w:val="0"/>
          <w:marTop w:val="0"/>
          <w:marBottom w:val="0"/>
          <w:divBdr>
            <w:top w:val="none" w:sz="0" w:space="0" w:color="auto"/>
            <w:left w:val="none" w:sz="0" w:space="0" w:color="auto"/>
            <w:bottom w:val="none" w:sz="0" w:space="0" w:color="auto"/>
            <w:right w:val="none" w:sz="0" w:space="0" w:color="auto"/>
          </w:divBdr>
        </w:div>
        <w:div w:id="1185627936">
          <w:marLeft w:val="547"/>
          <w:marRight w:val="0"/>
          <w:marTop w:val="0"/>
          <w:marBottom w:val="0"/>
          <w:divBdr>
            <w:top w:val="none" w:sz="0" w:space="0" w:color="auto"/>
            <w:left w:val="none" w:sz="0" w:space="0" w:color="auto"/>
            <w:bottom w:val="none" w:sz="0" w:space="0" w:color="auto"/>
            <w:right w:val="none" w:sz="0" w:space="0" w:color="auto"/>
          </w:divBdr>
        </w:div>
      </w:divsChild>
    </w:div>
    <w:div w:id="1868105448">
      <w:bodyDiv w:val="1"/>
      <w:marLeft w:val="0"/>
      <w:marRight w:val="0"/>
      <w:marTop w:val="0"/>
      <w:marBottom w:val="0"/>
      <w:divBdr>
        <w:top w:val="none" w:sz="0" w:space="0" w:color="auto"/>
        <w:left w:val="none" w:sz="0" w:space="0" w:color="auto"/>
        <w:bottom w:val="none" w:sz="0" w:space="0" w:color="auto"/>
        <w:right w:val="none" w:sz="0" w:space="0" w:color="auto"/>
      </w:divBdr>
      <w:divsChild>
        <w:div w:id="77143754">
          <w:marLeft w:val="547"/>
          <w:marRight w:val="0"/>
          <w:marTop w:val="0"/>
          <w:marBottom w:val="0"/>
          <w:divBdr>
            <w:top w:val="none" w:sz="0" w:space="0" w:color="auto"/>
            <w:left w:val="none" w:sz="0" w:space="0" w:color="auto"/>
            <w:bottom w:val="none" w:sz="0" w:space="0" w:color="auto"/>
            <w:right w:val="none" w:sz="0" w:space="0" w:color="auto"/>
          </w:divBdr>
        </w:div>
        <w:div w:id="595793346">
          <w:marLeft w:val="547"/>
          <w:marRight w:val="0"/>
          <w:marTop w:val="0"/>
          <w:marBottom w:val="0"/>
          <w:divBdr>
            <w:top w:val="none" w:sz="0" w:space="0" w:color="auto"/>
            <w:left w:val="none" w:sz="0" w:space="0" w:color="auto"/>
            <w:bottom w:val="none" w:sz="0" w:space="0" w:color="auto"/>
            <w:right w:val="none" w:sz="0" w:space="0" w:color="auto"/>
          </w:divBdr>
        </w:div>
        <w:div w:id="1321033779">
          <w:marLeft w:val="547"/>
          <w:marRight w:val="0"/>
          <w:marTop w:val="0"/>
          <w:marBottom w:val="0"/>
          <w:divBdr>
            <w:top w:val="none" w:sz="0" w:space="0" w:color="auto"/>
            <w:left w:val="none" w:sz="0" w:space="0" w:color="auto"/>
            <w:bottom w:val="none" w:sz="0" w:space="0" w:color="auto"/>
            <w:right w:val="none" w:sz="0" w:space="0" w:color="auto"/>
          </w:divBdr>
        </w:div>
        <w:div w:id="1587180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86/ISRCTN15996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86/ISRCTN15996256"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F2A987082BFB4D88231B3E6B8F8D01" ma:contentTypeVersion="12" ma:contentTypeDescription="Create a new document." ma:contentTypeScope="" ma:versionID="dbabc41728f8db23fff7d427522e0f12">
  <xsd:schema xmlns:xsd="http://www.w3.org/2001/XMLSchema" xmlns:xs="http://www.w3.org/2001/XMLSchema" xmlns:p="http://schemas.microsoft.com/office/2006/metadata/properties" xmlns:ns3="b7474fad-3ed0-497e-a30e-d1febff5cf80" xmlns:ns4="2b90b2cf-4801-4796-ae58-9f21908fa37d" targetNamespace="http://schemas.microsoft.com/office/2006/metadata/properties" ma:root="true" ma:fieldsID="e89a7944d951def6b8a73e19e4db5787" ns3:_="" ns4:_="">
    <xsd:import namespace="b7474fad-3ed0-497e-a30e-d1febff5cf80"/>
    <xsd:import namespace="2b90b2cf-4801-4796-ae58-9f21908fa3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74fad-3ed0-497e-a30e-d1febff5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0b2cf-4801-4796-ae58-9f21908fa3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372DE-E13A-456F-B8E3-B7697CDA2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5F480-5E59-4250-B2A4-F6D6BD01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74fad-3ed0-497e-a30e-d1febff5cf80"/>
    <ds:schemaRef ds:uri="2b90b2cf-4801-4796-ae58-9f21908fa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351CB-FA1E-4EEC-893C-C8BEC357950E}">
  <ds:schemaRefs>
    <ds:schemaRef ds:uri="http://schemas.openxmlformats.org/officeDocument/2006/bibliography"/>
  </ds:schemaRefs>
</ds:datastoreItem>
</file>

<file path=customXml/itemProps4.xml><?xml version="1.0" encoding="utf-8"?>
<ds:datastoreItem xmlns:ds="http://schemas.openxmlformats.org/officeDocument/2006/customXml" ds:itemID="{4DC8CABC-0ED1-4088-8E85-9967907A3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9382</Words>
  <Characters>53479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Wayal</dc:creator>
  <cp:keywords/>
  <dc:description/>
  <cp:lastModifiedBy>Lasoye, Sarah</cp:lastModifiedBy>
  <cp:revision>2</cp:revision>
  <cp:lastPrinted>2020-07-11T13:00:00Z</cp:lastPrinted>
  <dcterms:created xsi:type="dcterms:W3CDTF">2021-02-03T12:30:00Z</dcterms:created>
  <dcterms:modified xsi:type="dcterms:W3CDTF">2021-02-03T12:30:00Z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e56f7894-b569-3c17-9cf4-6437ae6968b4</vt:lpwstr>
  </property>
  <property fmtid="{D5CDD505-2E9C-101B-9397-08002B2CF9AE}" pid="24" name="Mendeley Citation Style_1">
    <vt:lpwstr>http://www.zotero.org/styles/vancouver</vt:lpwstr>
  </property>
  <property fmtid="{D5CDD505-2E9C-101B-9397-08002B2CF9AE}" pid="25" name="ContentTypeId">
    <vt:lpwstr>0x010100BDF2A987082BFB4D88231B3E6B8F8D01</vt:lpwstr>
  </property>
</Properties>
</file>